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2CA2A">
      <w:pPr>
        <w:keepNext w:val="0"/>
        <w:keepLines w:val="0"/>
        <w:pageBreakBefore w:val="0"/>
        <w:widowControl w:val="0"/>
        <w:kinsoku/>
        <w:wordWrap/>
        <w:overflowPunct/>
        <w:topLinePunct w:val="0"/>
        <w:bidi w:val="0"/>
        <w:snapToGrid w:val="0"/>
        <w:spacing w:line="360" w:lineRule="auto"/>
        <w:contextualSpacing/>
        <w:jc w:val="center"/>
        <w:textAlignment w:val="auto"/>
        <w:outlineLvl w:val="1"/>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采购需求</w:t>
      </w:r>
    </w:p>
    <w:p w14:paraId="6AEE7AAD">
      <w:pPr>
        <w:jc w:val="center"/>
        <w:rPr>
          <w:rFonts w:hint="default"/>
          <w:b/>
          <w:bCs/>
        </w:rPr>
      </w:pPr>
      <w:r>
        <w:rPr>
          <w:rFonts w:hint="default"/>
          <w:b/>
          <w:bCs/>
        </w:rPr>
        <w:t>第1包：新闻视频制作服务</w:t>
      </w:r>
    </w:p>
    <w:p w14:paraId="0499A3DA">
      <w:pPr>
        <w:rPr>
          <w:rFonts w:hint="default"/>
        </w:rPr>
      </w:pPr>
      <w:r>
        <w:rPr>
          <w:rFonts w:hint="default"/>
        </w:rPr>
        <w:t>一、项目背景：</w:t>
      </w:r>
    </w:p>
    <w:p w14:paraId="5816FAEB">
      <w:pPr>
        <w:rPr>
          <w:rFonts w:hint="default"/>
        </w:rPr>
      </w:pPr>
      <w:r>
        <w:rPr>
          <w:rFonts w:hint="default"/>
        </w:rPr>
        <w:t>北京是首善之区，民政事业是首善之事，是民生保障的重要组成部分，承担着兜底保障的重要职责。民政宣传工作是党和政府宣传工作的一个组成部分，是推动和促进民政工作深入改革和发展的有力武器。为深入学习贯彻习近平总书记关于民政工作的重要论述，通过新闻宣传工作加强与其他省市民政部门的交流，扩大北京民政在全国民政系统的影响力，北京市民政局确立了以中央、市属主流媒体为基础，新媒体为重点，构建北京民政新媒体平台矩阵，助推北京民政新闻宣传工作。</w:t>
      </w:r>
    </w:p>
    <w:p w14:paraId="2F571AD0">
      <w:pPr>
        <w:rPr>
          <w:rFonts w:hint="default"/>
        </w:rPr>
      </w:pPr>
      <w:r>
        <w:rPr>
          <w:rFonts w:hint="default"/>
        </w:rPr>
        <w:t>二、项目目标：</w:t>
      </w:r>
    </w:p>
    <w:p w14:paraId="61DF4088">
      <w:pPr>
        <w:rPr>
          <w:rFonts w:hint="default"/>
        </w:rPr>
      </w:pPr>
      <w:r>
        <w:rPr>
          <w:rFonts w:hint="default"/>
        </w:rPr>
        <w:t>宣传北京民政各项政策、各项工作的进程、成果、先进事迹的表彰等，促进民政民生政策落地。扩大民生政策社会知晓度，促进惠民政策深入人心，保证民政事业长久持续发展。</w:t>
      </w:r>
    </w:p>
    <w:p w14:paraId="44829813">
      <w:pPr>
        <w:rPr>
          <w:rFonts w:hint="default"/>
        </w:rPr>
      </w:pPr>
      <w:r>
        <w:rPr>
          <w:rFonts w:hint="default"/>
        </w:rPr>
        <w:t>三、服务期限：</w:t>
      </w:r>
    </w:p>
    <w:p w14:paraId="0247B73E">
      <w:pPr>
        <w:rPr>
          <w:rFonts w:hint="default"/>
        </w:rPr>
      </w:pPr>
      <w:r>
        <w:rPr>
          <w:rFonts w:hint="default"/>
        </w:rPr>
        <w:t>时间：自合同生效之日起至2025年12月10日。</w:t>
      </w:r>
    </w:p>
    <w:p w14:paraId="2680828C">
      <w:pPr>
        <w:rPr>
          <w:rFonts w:hint="default"/>
        </w:rPr>
      </w:pPr>
      <w:r>
        <w:rPr>
          <w:rFonts w:hint="default"/>
        </w:rPr>
        <w:t>四、项目具体需求：</w:t>
      </w:r>
    </w:p>
    <w:p w14:paraId="135A48E6">
      <w:pPr>
        <w:rPr>
          <w:rFonts w:hint="default"/>
        </w:rPr>
      </w:pPr>
      <w:r>
        <w:rPr>
          <w:rFonts w:hint="default"/>
        </w:rPr>
        <w:t>充分发挥视频新闻优势，报道政策解读、人物事迹、成果展示、未来规划、群众呼声、百姓答疑等内容，全面宣传报道我市民政系统的主要工作。具体需求如下：</w:t>
      </w:r>
    </w:p>
    <w:p w14:paraId="1249738E">
      <w:pPr>
        <w:rPr>
          <w:rFonts w:hint="default"/>
        </w:rPr>
      </w:pPr>
      <w:r>
        <w:rPr>
          <w:rFonts w:hint="default"/>
        </w:rPr>
        <w:t>根据北京市民政局全年养老、社会救助、殡葬等工作及政策发布情况，围绕相关内容，辅助采编、制作40期总时长不少于400分钟的视音频类《北京民政新闻》及宣传视频，宣传惠民政策，反映社情民意。经采购人同意后，在北京市民政局官方微信公众号、新浪微博等新媒体平台做好播出工作。</w:t>
      </w:r>
    </w:p>
    <w:p w14:paraId="6C0758A1">
      <w:pPr>
        <w:rPr>
          <w:rFonts w:hint="default"/>
        </w:rPr>
      </w:pPr>
      <w:r>
        <w:rPr>
          <w:rFonts w:hint="default"/>
        </w:rPr>
        <w:t>《北京民政新闻》或宣传视频要求：</w:t>
      </w:r>
    </w:p>
    <w:p w14:paraId="7F8E7D77">
      <w:pPr>
        <w:rPr>
          <w:rFonts w:hint="default"/>
        </w:rPr>
      </w:pPr>
      <w:r>
        <w:rPr>
          <w:rFonts w:hint="default"/>
        </w:rPr>
        <w:t>视频尺寸：1920*1080</w:t>
      </w:r>
    </w:p>
    <w:p w14:paraId="251F04C0">
      <w:pPr>
        <w:rPr>
          <w:rFonts w:hint="default"/>
        </w:rPr>
      </w:pPr>
      <w:r>
        <w:rPr>
          <w:rFonts w:hint="default"/>
        </w:rPr>
        <w:t>视频码率：不低于10Mbps</w:t>
      </w:r>
    </w:p>
    <w:p w14:paraId="04A78221">
      <w:pPr>
        <w:rPr>
          <w:rFonts w:hint="default"/>
        </w:rPr>
      </w:pPr>
      <w:r>
        <w:rPr>
          <w:rFonts w:hint="default"/>
        </w:rPr>
        <w:t>每期时长：大于等于10分钟</w:t>
      </w:r>
    </w:p>
    <w:p w14:paraId="29BF115F">
      <w:pPr>
        <w:rPr>
          <w:rFonts w:hint="default"/>
        </w:rPr>
      </w:pPr>
      <w:r>
        <w:rPr>
          <w:rFonts w:hint="default"/>
        </w:rPr>
        <w:t>声音：双声道</w:t>
      </w:r>
    </w:p>
    <w:p w14:paraId="03C2EEB6">
      <w:pPr>
        <w:rPr>
          <w:rFonts w:hint="default"/>
        </w:rPr>
      </w:pPr>
      <w:r>
        <w:rPr>
          <w:rFonts w:hint="default"/>
        </w:rPr>
        <w:t>包装：片头、台标、片尾、字幕</w:t>
      </w:r>
    </w:p>
    <w:p w14:paraId="3C69A6A4">
      <w:pPr>
        <w:rPr>
          <w:rFonts w:hint="default"/>
        </w:rPr>
      </w:pPr>
      <w:r>
        <w:rPr>
          <w:rFonts w:hint="default"/>
        </w:rPr>
        <w:t>提供高效优质的服务，包括至少1名总策划，负责协同和管理项目进度；至少3名采访及拍摄的服务，视频剪辑及包装不少于1人的服务，确保高质量的宣传；至少1名文字统筹的服务，确保内容的准确性和专业性；以及至少1名主持或配音的服务，确保全面而专业的支持。</w:t>
      </w:r>
    </w:p>
    <w:p w14:paraId="70D9FA16">
      <w:pPr>
        <w:rPr>
          <w:rFonts w:hint="default"/>
        </w:rPr>
      </w:pPr>
    </w:p>
    <w:p w14:paraId="628B0112">
      <w:pPr>
        <w:jc w:val="center"/>
        <w:rPr>
          <w:rFonts w:hint="default"/>
          <w:b/>
          <w:bCs/>
        </w:rPr>
      </w:pPr>
      <w:r>
        <w:rPr>
          <w:rFonts w:hint="default"/>
          <w:b/>
          <w:bCs/>
        </w:rPr>
        <w:t>第2包：新闻媒体宣传服务</w:t>
      </w:r>
    </w:p>
    <w:p w14:paraId="7413E5E8">
      <w:pPr>
        <w:rPr>
          <w:rFonts w:hint="default"/>
        </w:rPr>
      </w:pPr>
      <w:r>
        <w:rPr>
          <w:rFonts w:hint="default"/>
        </w:rPr>
        <w:t>一、项目目标</w:t>
      </w:r>
    </w:p>
    <w:p w14:paraId="2064DF38">
      <w:pPr>
        <w:rPr>
          <w:rFonts w:hint="default"/>
        </w:rPr>
      </w:pPr>
      <w:r>
        <w:rPr>
          <w:rFonts w:hint="default"/>
        </w:rPr>
        <w:t>以学习贯彻习近平新时代中国特色社会主义思想和党的二十大精神为主线，认真贯彻落实市委、市政府安排部署，践行社会主义核心价值观，以群众满意为核心，以深化改革为牵引，以高质量落地见效为标准，通过报纸刊物专版的形式宣传报道北京民政系统重点工作、先进典型和特色活动。具体需求如下：</w:t>
      </w:r>
    </w:p>
    <w:p w14:paraId="1837E956">
      <w:pPr>
        <w:rPr>
          <w:rFonts w:hint="default"/>
        </w:rPr>
      </w:pPr>
      <w:r>
        <w:rPr>
          <w:rFonts w:hint="default"/>
        </w:rPr>
        <w:t>二、项目及实施时间</w:t>
      </w:r>
    </w:p>
    <w:p w14:paraId="3DA36980">
      <w:pPr>
        <w:rPr>
          <w:rFonts w:hint="default"/>
        </w:rPr>
      </w:pPr>
      <w:r>
        <w:rPr>
          <w:rFonts w:hint="default"/>
        </w:rPr>
        <w:t>时间：自合同生效之日起至2025年12月10日。</w:t>
      </w:r>
    </w:p>
    <w:p w14:paraId="5A0D3751">
      <w:pPr>
        <w:rPr>
          <w:rFonts w:hint="default"/>
        </w:rPr>
      </w:pPr>
      <w:r>
        <w:rPr>
          <w:rFonts w:hint="default"/>
        </w:rPr>
        <w:t>三、项目实施内容</w:t>
      </w:r>
    </w:p>
    <w:p w14:paraId="2F21A239">
      <w:pPr>
        <w:rPr>
          <w:rFonts w:hint="default"/>
        </w:rPr>
      </w:pPr>
      <w:r>
        <w:rPr>
          <w:rFonts w:hint="default"/>
        </w:rPr>
        <w:t>1、为落实市委市政府要求，结合我局重点任务和工作安排，计划对养老服务领域中围绕出行、餐饮、养老机构等多个养老相关细分话题进行深度报道，针对养老政策解读、养老服务人才供给、殡葬政策与人文关怀、殡葬便民服务信息，社会组织创新服务等开展宣传，合同期内在供应商报纸刊物及新媒体客户端上，策划采编完成不少于31个报纸专版报道、两期视频类报道、12期图文类报道（2025年10月31日前完成70%），采用深度报道的方式对局全年重点业务工作进行宣传报道。于2025年12月10日前向采购人递交一式两份年终书面结项报告（包含不少于31个报纸专版宣传、两期视频类宣传、12期图文类宣传的电子版或纸质版等相关内容）。</w:t>
      </w:r>
    </w:p>
    <w:p w14:paraId="48C5C83C">
      <w:pPr>
        <w:rPr>
          <w:rFonts w:hint="default"/>
        </w:rPr>
      </w:pPr>
      <w:r>
        <w:rPr>
          <w:rFonts w:hint="default"/>
        </w:rPr>
        <w:t>2、要求提供一套完整的服务方案，包括至少1名统筹服务，负责协同和管理项目进度；至少8名持有专业证件的工作人员服务，确保高质量的宣传；至少4名编辑服务，确保素有内容的准确性和专业性；以及至少2名摄影师的服务，提供高质量的视觉内容。所有服务均由具备2年以上工作经验的专业人员提供，确保全面而专业的支持。</w:t>
      </w:r>
    </w:p>
    <w:p w14:paraId="535E1FD9">
      <w:pPr>
        <w:rPr>
          <w:rFonts w:hint="default"/>
        </w:rPr>
      </w:pPr>
      <w:r>
        <w:rPr>
          <w:rFonts w:hint="default"/>
        </w:rPr>
        <w:t>3、要求自身或合作媒体具有权威性和公信力，能够在中央、市属或行业媒体报刊刊登新闻，新闻内容有深度有品质。</w:t>
      </w:r>
    </w:p>
    <w:p w14:paraId="3474B3EF">
      <w:pPr>
        <w:rPr>
          <w:rFonts w:hint="default"/>
        </w:rPr>
      </w:pPr>
      <w:r>
        <w:rPr>
          <w:rFonts w:hint="default"/>
        </w:rPr>
        <w:t>4、版面宣传内容体现工作成果或政策发布意义，每个整版字数不少于2000字、根据报道内容需要配图。</w:t>
      </w:r>
    </w:p>
    <w:p w14:paraId="2BA0F21F">
      <w:pPr>
        <w:rPr>
          <w:rFonts w:hint="default"/>
        </w:rPr>
      </w:pPr>
      <w:r>
        <w:rPr>
          <w:rFonts w:hint="default"/>
        </w:rPr>
        <w:t>四、项目要求</w:t>
      </w:r>
    </w:p>
    <w:p w14:paraId="248FA987">
      <w:pPr>
        <w:rPr>
          <w:rFonts w:hint="default"/>
        </w:rPr>
      </w:pPr>
      <w:r>
        <w:rPr>
          <w:rFonts w:hint="default"/>
        </w:rPr>
        <w:t>1、运用自身及合作媒体优势，做好宣传的采编、印刷、发行工作。</w:t>
      </w:r>
    </w:p>
    <w:p w14:paraId="662209B3">
      <w:pPr>
        <w:rPr>
          <w:rFonts w:hint="default"/>
        </w:rPr>
      </w:pPr>
      <w:r>
        <w:rPr>
          <w:rFonts w:hint="default"/>
        </w:rPr>
        <w:t>2、完成采购人根据不同阶段或宣传内容需要，提出的版面设计需要，包括：专栏篇幅、文字数量、图片数量等。</w:t>
      </w:r>
    </w:p>
    <w:p w14:paraId="5EAB9E5C">
      <w:pPr>
        <w:rPr>
          <w:rFonts w:hint="default"/>
        </w:rPr>
      </w:pPr>
      <w:r>
        <w:rPr>
          <w:rFonts w:hint="default"/>
        </w:rPr>
        <w:t>五、人员要求</w:t>
      </w:r>
    </w:p>
    <w:p w14:paraId="55080887">
      <w:pPr>
        <w:rPr>
          <w:rFonts w:hint="default"/>
        </w:rPr>
      </w:pPr>
      <w:r>
        <w:rPr>
          <w:rFonts w:hint="default"/>
        </w:rPr>
        <w:t>为本项目成立专门的项目团队，明确项目负责人，项目负责人需具有新闻采编从业资格证。项目团队成员应专业配置合理，职责清晰、具有相关工作经验。</w:t>
      </w:r>
    </w:p>
    <w:p w14:paraId="50C8F378">
      <w:pPr>
        <w:rPr>
          <w:rFonts w:hint="default"/>
        </w:rPr>
      </w:pPr>
    </w:p>
    <w:p w14:paraId="1944F71D">
      <w:pPr>
        <w:jc w:val="center"/>
        <w:rPr>
          <w:rFonts w:hint="default"/>
          <w:b/>
          <w:bCs/>
        </w:rPr>
      </w:pPr>
      <w:r>
        <w:rPr>
          <w:rFonts w:hint="default"/>
          <w:b/>
          <w:bCs/>
        </w:rPr>
        <w:t>第3包：民政榜样宣传教育活动</w:t>
      </w:r>
    </w:p>
    <w:p w14:paraId="31D16D58">
      <w:pPr>
        <w:rPr>
          <w:rFonts w:hint="default"/>
        </w:rPr>
      </w:pPr>
      <w:r>
        <w:rPr>
          <w:rFonts w:hint="default"/>
        </w:rPr>
        <w:t>一、项目背景</w:t>
      </w:r>
    </w:p>
    <w:p w14:paraId="22F7E435">
      <w:pPr>
        <w:rPr>
          <w:rFonts w:hint="default"/>
        </w:rPr>
      </w:pPr>
      <w:r>
        <w:rPr>
          <w:rFonts w:hint="default"/>
        </w:rPr>
        <w:t>为充分展示北京民政发展成就、宣传北京民政政策、推树北京民政先进典型，组织举办第七届“北京榜样·最美民政人”宣传教育活动，做好北京民政领域政策、典型事迹、先进人物等宣传报道。策划组织礼遇探访系列活动，感受北京非遗文化，多维度感悟新时代文明实践中心的建设成果，对举办的活动进行多媒体宣传。</w:t>
      </w:r>
    </w:p>
    <w:p w14:paraId="1E46556E">
      <w:pPr>
        <w:rPr>
          <w:rFonts w:hint="default"/>
        </w:rPr>
      </w:pPr>
      <w:r>
        <w:rPr>
          <w:rFonts w:hint="default"/>
        </w:rPr>
        <w:t>二、服务主要内容</w:t>
      </w:r>
    </w:p>
    <w:p w14:paraId="49C6FE6B">
      <w:pPr>
        <w:rPr>
          <w:rFonts w:hint="default"/>
        </w:rPr>
      </w:pPr>
      <w:r>
        <w:rPr>
          <w:rFonts w:hint="default"/>
        </w:rPr>
        <w:t>辅助开展第七届“北京榜样·最美民政人”宣传教育活动的策划执行。制作大型宣传活动——《第七届“民政榜样·最美民政人”宣传教育活动》：对2025年度民政系统出台的惠民政策进行精准解读，同时重点宣传先进典型、感人事迹，树立行业先进榜样，形成具有民政特点的年度品牌活动。</w:t>
      </w:r>
    </w:p>
    <w:p w14:paraId="008B7584">
      <w:pPr>
        <w:rPr>
          <w:rFonts w:hint="default"/>
        </w:rPr>
      </w:pPr>
      <w:r>
        <w:rPr>
          <w:rFonts w:hint="default"/>
        </w:rPr>
        <w:t>（一）筹备评选。配合采购人做好初评、复评工作，含策划总体方案、相关会议筹备、新媒体推广等。初评复评阶段，协助对候选人材料事迹进行梳理汇总，邀请民政领域内有关专家、从业人员和媒体人士（9人，须副高或副处以上职称、职级）进行评选。根据初评复评有关要求，供应商按照工作进度以H5或SVG等形式搭建网络点赞系统，通过网络点赞系统宣传榜样人物（集体）事迹，开展为期不少于7天的社会化评选，并对网络点赞情况进行统计汇总。同期，通过市属新媒体或行业新媒体平台向社会发布活动介绍、候选人情况等，形式包括且不限于图文、海报等。</w:t>
      </w:r>
    </w:p>
    <w:p w14:paraId="0714FB4B">
      <w:pPr>
        <w:rPr>
          <w:rFonts w:hint="default"/>
        </w:rPr>
      </w:pPr>
      <w:r>
        <w:rPr>
          <w:rFonts w:hint="default"/>
        </w:rPr>
        <w:t>（二）宣传片拍摄制作。根据复评结果，拍摄制作榜样人物宣传片10部（每部成片时长不少于3分钟，高清画质1920*1080,mov格式）、活动介绍片1部（成片时长不少于3分钟，高清画质1920*1080,mov格式）。供应商要综合考量动态主视觉制作、培训指导、脚本设计及文案、拍摄人员安排、主拍摄设备和拍摄辅助设备使用租赁、视频剪辑配乐和精修、特效制作等。</w:t>
      </w:r>
    </w:p>
    <w:p w14:paraId="6E600943">
      <w:pPr>
        <w:rPr>
          <w:rFonts w:hint="default"/>
        </w:rPr>
      </w:pPr>
      <w:r>
        <w:rPr>
          <w:rFonts w:hint="default"/>
        </w:rPr>
        <w:t>（三）现场活动。供应商根据活动进度安排，设计场地使用方案（设主持人1-2人，参加现场活动观众规模在100人至150人），开展舞台搭建、舞美设计，并就现场活动做好人员力量组织、音视频素材制作、摄影摄像及直播服务、物料制作、后勤保障等工作，现场活动节目录制视频不少于45分钟。</w:t>
      </w:r>
    </w:p>
    <w:p w14:paraId="7D6BA501">
      <w:pPr>
        <w:rPr>
          <w:rFonts w:hint="default"/>
        </w:rPr>
      </w:pPr>
      <w:r>
        <w:rPr>
          <w:rFonts w:hint="default"/>
        </w:rPr>
        <w:t>（四）宣传推广。活动期间，邀请不少于7家中央、市属、行业媒体或其网络平台对活动进行宣推，包括但不限于北京日报、北京广播电视台、新京报、北京青年报等平台。</w:t>
      </w:r>
    </w:p>
    <w:p w14:paraId="06536F98">
      <w:pPr>
        <w:rPr>
          <w:rFonts w:hint="default"/>
        </w:rPr>
      </w:pPr>
      <w:r>
        <w:rPr>
          <w:rFonts w:hint="default"/>
        </w:rPr>
        <w:t>（五）组织新时代文明实践活动。组织“琉璃厂古韵之旅”、“槐房再生水厂”、“非遗北京-走进北京珐琅厂”3场新时代文明实践活动。每场活动为不超过50人的参观人员提供通州区留庄路4号院至活动场所的车辆接送服务。每场活动由专业拍摄团队进行活动的全程跟拍，活动结束后进行剪辑包装，十五日内提供5分钟集锦短片，可采用光盘或U盘等电子存储介质提交。系列活动举办期间，通过线上宣传平台以图文或视频形式发布活动回顾内容；在每一场活动结束后，将新闻稿投放至千龙网、百度百家等新闻客户端，并进行首页智能推荐，3场探访活动推广次数不少于20次；系列活动举办期间，邀请北京广播电视台、新京报等主流媒体、爱奇艺、北京时间等新媒体记者现场报道系列活动，3场探访活动推广次数不少于6次。</w:t>
      </w:r>
    </w:p>
    <w:p w14:paraId="25B07D7E">
      <w:pPr>
        <w:rPr>
          <w:rFonts w:hint="default"/>
        </w:rPr>
      </w:pPr>
      <w:r>
        <w:rPr>
          <w:rFonts w:hint="default"/>
        </w:rPr>
        <w:t>三、服务要求</w:t>
      </w:r>
    </w:p>
    <w:p w14:paraId="3BACB781">
      <w:pPr>
        <w:rPr>
          <w:rFonts w:hint="default"/>
        </w:rPr>
      </w:pPr>
      <w:r>
        <w:rPr>
          <w:rFonts w:hint="default"/>
        </w:rPr>
        <w:t>1.按照采购人的要求进行报道。</w:t>
      </w:r>
    </w:p>
    <w:p w14:paraId="78B4334C">
      <w:pPr>
        <w:rPr>
          <w:rFonts w:hint="default"/>
        </w:rPr>
      </w:pPr>
      <w:r>
        <w:rPr>
          <w:rFonts w:hint="default"/>
        </w:rPr>
        <w:t>2.保证宣传的风格和表现方式多样化。</w:t>
      </w:r>
    </w:p>
    <w:p w14:paraId="078C1E51">
      <w:pPr>
        <w:rPr>
          <w:rFonts w:hint="default"/>
        </w:rPr>
      </w:pPr>
      <w:r>
        <w:rPr>
          <w:rFonts w:hint="default"/>
        </w:rPr>
        <w:t>3.履约验收成果要求：供应商需提供宣传片10部、活动介绍片1部、现场活动节目1部，提供视频文件及发布情况。</w:t>
      </w:r>
    </w:p>
    <w:p w14:paraId="36269574">
      <w:pPr>
        <w:rPr>
          <w:rFonts w:hint="default"/>
        </w:rPr>
      </w:pPr>
      <w:r>
        <w:rPr>
          <w:rFonts w:hint="default"/>
        </w:rPr>
        <w:t>四、服务期限</w:t>
      </w:r>
    </w:p>
    <w:p w14:paraId="2CE8B6DE">
      <w:pPr>
        <w:rPr>
          <w:rFonts w:hint="default"/>
        </w:rPr>
      </w:pPr>
      <w:r>
        <w:rPr>
          <w:rFonts w:hint="default"/>
        </w:rPr>
        <w:t>自合同生效之日起至2025年12月10日。</w:t>
      </w:r>
    </w:p>
    <w:p w14:paraId="65C52D7C">
      <w:pPr>
        <w:rPr>
          <w:rFonts w:hint="default"/>
        </w:rPr>
      </w:pPr>
      <w:r>
        <w:rPr>
          <w:rFonts w:hint="default"/>
        </w:rPr>
        <w:t>五、项目成果内容</w:t>
      </w:r>
    </w:p>
    <w:p w14:paraId="54F57A0D">
      <w:pPr>
        <w:rPr>
          <w:rFonts w:hint="default"/>
        </w:rPr>
      </w:pPr>
      <w:r>
        <w:rPr>
          <w:rFonts w:hint="default"/>
        </w:rPr>
        <w:t>（一）第七届“北京榜样·最美民政人”宣传教育活动（现场活动），对2025年度民政系统出台的惠民政策进行精准解读，同时重点宣传先进典型、感人事迹，树立行业先进榜样，形成具有民政特点的年度品牌活动并在有关平台发布，相关报道不少于7次。</w:t>
      </w:r>
    </w:p>
    <w:p w14:paraId="53AA4F46">
      <w:pPr>
        <w:rPr>
          <w:rFonts w:hint="default"/>
        </w:rPr>
      </w:pPr>
      <w:r>
        <w:rPr>
          <w:rFonts w:hint="default"/>
        </w:rPr>
        <w:t>（二）新时代文明实践活动，附与活动相关的照片，活动≥20张照片；活动拍摄剪辑后的成片视频，每部时长不少于5分钟，MOV格式，画面分辨率≥1080p。成片中提及的照片和视频，需反映参观主要过程和参与者积极昂扬的精神风貌，可采用光盘或U盘等电子存储介质提交。</w:t>
      </w:r>
    </w:p>
    <w:p w14:paraId="36200614">
      <w:pPr>
        <w:rPr>
          <w:rFonts w:hint="default"/>
        </w:rPr>
      </w:pPr>
    </w:p>
    <w:p w14:paraId="4C7E802C">
      <w:pPr>
        <w:jc w:val="center"/>
        <w:rPr>
          <w:rFonts w:hint="default"/>
          <w:b/>
          <w:bCs/>
        </w:rPr>
      </w:pPr>
      <w:r>
        <w:rPr>
          <w:rFonts w:hint="default"/>
          <w:b/>
          <w:bCs/>
        </w:rPr>
        <w:t>第4包：慈善北京文化建设服务</w:t>
      </w:r>
    </w:p>
    <w:p w14:paraId="6ACF5242">
      <w:pPr>
        <w:rPr>
          <w:rFonts w:hint="default"/>
        </w:rPr>
      </w:pPr>
      <w:r>
        <w:rPr>
          <w:rFonts w:hint="default"/>
        </w:rPr>
        <w:t>一、项目背景</w:t>
      </w:r>
    </w:p>
    <w:p w14:paraId="4396E6A7">
      <w:pPr>
        <w:rPr>
          <w:rFonts w:hint="default"/>
        </w:rPr>
      </w:pPr>
      <w:r>
        <w:rPr>
          <w:rFonts w:hint="default"/>
        </w:rPr>
        <w:t>为深入贯彻习近平总书记关于民政工作和慈善事业的重要指示精神，全面落实党中央国务院关于慈善事业的重要决策部署和市委市政府相关工作要求，近年来，我市持续深入贯彻落实《中华人民共和国慈善法》，紧紧围绕“慈善北京”建设，深入开展慈善北京文化建设，以“首善标准”为指导精神，大力营造慈善氛围，广泛弘扬慈善理念，提高公众对慈善的认识，提升慈善社会影响力，持续推进首都慈善事业高质量发展。</w:t>
      </w:r>
    </w:p>
    <w:p w14:paraId="2FC8E00A">
      <w:pPr>
        <w:rPr>
          <w:rFonts w:hint="default"/>
        </w:rPr>
      </w:pPr>
      <w:r>
        <w:rPr>
          <w:rFonts w:hint="default"/>
        </w:rPr>
        <w:t>为深入贯彻党的二十大精神，推进“慈善北京”建设，开展“慈善北京”文化建设项目，通过制作优秀慈善产品，培育优秀慈善品牌，打造慈善宣传平台，展现首都慈善文化影响力，以首都慈善事业高质量发展助力新时代首都发展。</w:t>
      </w:r>
    </w:p>
    <w:p w14:paraId="645D5FCF">
      <w:pPr>
        <w:rPr>
          <w:rFonts w:hint="default"/>
        </w:rPr>
      </w:pPr>
      <w:r>
        <w:rPr>
          <w:rFonts w:hint="default"/>
        </w:rPr>
        <w:t>二、服务内容</w:t>
      </w:r>
    </w:p>
    <w:p w14:paraId="15349EE7">
      <w:pPr>
        <w:rPr>
          <w:rFonts w:hint="default"/>
        </w:rPr>
      </w:pPr>
      <w:r>
        <w:rPr>
          <w:rFonts w:hint="default"/>
        </w:rPr>
        <w:t>（一）项目周期</w:t>
      </w:r>
    </w:p>
    <w:p w14:paraId="6ABD109A">
      <w:pPr>
        <w:rPr>
          <w:rFonts w:hint="default"/>
        </w:rPr>
      </w:pPr>
      <w:r>
        <w:rPr>
          <w:rFonts w:hint="default"/>
        </w:rPr>
        <w:t>自合同签订生效之日起至2025年12月10日</w:t>
      </w:r>
    </w:p>
    <w:p w14:paraId="6040FE88">
      <w:pPr>
        <w:rPr>
          <w:rFonts w:hint="default"/>
        </w:rPr>
      </w:pPr>
      <w:r>
        <w:rPr>
          <w:rFonts w:hint="default"/>
        </w:rPr>
        <w:t>（二）服务内容及质量要求</w:t>
      </w:r>
    </w:p>
    <w:p w14:paraId="4BCCB0F8">
      <w:pPr>
        <w:rPr>
          <w:rFonts w:hint="default"/>
        </w:rPr>
      </w:pPr>
      <w:r>
        <w:rPr>
          <w:rFonts w:hint="default"/>
        </w:rPr>
        <w:t>围绕“中华慈善日”、“慈善北京”为主题，分别设计主视觉宣传海报并进行推广、投放，具体要求如下：</w:t>
      </w:r>
    </w:p>
    <w:p w14:paraId="6D24674B">
      <w:pPr>
        <w:rPr>
          <w:rFonts w:hint="default"/>
        </w:rPr>
      </w:pPr>
      <w:r>
        <w:rPr>
          <w:rFonts w:hint="default"/>
        </w:rPr>
        <w:t>1.分别设计“中华慈善日”、“慈善北京”等不少于2个主视觉宣传海报，要求全面体现首都慈善特色，能够充分激发社会公众参与慈善的热情。</w:t>
      </w:r>
    </w:p>
    <w:p w14:paraId="0714FC76">
      <w:pPr>
        <w:rPr>
          <w:rFonts w:hint="default"/>
        </w:rPr>
      </w:pPr>
      <w:r>
        <w:rPr>
          <w:rFonts w:hint="default"/>
        </w:rPr>
        <w:t>2.印刷主视觉成品870*570MM的海报，200克铜版纸，4色饱和印刷。印刷数量不少于1650套，并负责配发至十六区民政局及经开区社会工作部，使其在各区、街道、社区等广泛张贴。</w:t>
      </w:r>
    </w:p>
    <w:p w14:paraId="29F00A1B">
      <w:pPr>
        <w:rPr>
          <w:rFonts w:hint="default"/>
        </w:rPr>
      </w:pPr>
      <w:r>
        <w:rPr>
          <w:rFonts w:hint="default"/>
        </w:rPr>
        <w:t>3.全部主视觉宣传海报在本市部分公交站亭、公交车身张贴，并在相关地铁沿线、火车候车站、机场、户外广告大屏等进行大屏投放。投放周期3周。一是在本市人流量较高的商场内进行投放（不少于2处）；二是在北京地铁或机场等客流量较大的公共区域，例如通道/车厢/候车室/候机楼等地进行投放（不少于3处）；三是在北京地区的户外大型广告牌进行投放（不少于1处）；四是在北京地区其公交车身张贴（不少于5条线路，10辆），具体以沟通确认车辆路线为准；五是在北京地区公交站牌（不少于5处）广告栏进行投放，具体以沟通确认公交站牌为准。</w:t>
      </w:r>
    </w:p>
    <w:p w14:paraId="0BDCAA5B">
      <w:pPr>
        <w:rPr>
          <w:rFonts w:hint="default"/>
        </w:rPr>
      </w:pPr>
      <w:r>
        <w:rPr>
          <w:rFonts w:hint="default"/>
        </w:rPr>
        <w:t>4.投放前要报经采购人审核同意，投放周期3周，具体投放时间以采购人实际工作要求为准。</w:t>
      </w:r>
    </w:p>
    <w:p w14:paraId="749CB531">
      <w:pPr>
        <w:rPr>
          <w:rFonts w:hint="default"/>
        </w:rPr>
      </w:pPr>
      <w:r>
        <w:rPr>
          <w:rFonts w:hint="default"/>
        </w:rPr>
        <w:t>三、服务要求</w:t>
      </w:r>
    </w:p>
    <w:p w14:paraId="29D027ED">
      <w:pPr>
        <w:rPr>
          <w:rFonts w:hint="default"/>
        </w:rPr>
      </w:pPr>
      <w:r>
        <w:rPr>
          <w:rFonts w:hint="default"/>
        </w:rPr>
        <w:t>（一）对慈善事业有较为全面的了解；</w:t>
      </w:r>
    </w:p>
    <w:p w14:paraId="2C1CFD95">
      <w:pPr>
        <w:rPr>
          <w:rFonts w:hint="default"/>
        </w:rPr>
      </w:pPr>
      <w:r>
        <w:rPr>
          <w:rFonts w:hint="default"/>
        </w:rPr>
        <w:t>（二）供应商无不良及违法违规记录；该项目实施团队人员不少于3人。</w:t>
      </w:r>
    </w:p>
    <w:p w14:paraId="1F8D696C">
      <w:pPr>
        <w:rPr>
          <w:rFonts w:hint="default"/>
        </w:rPr>
      </w:pPr>
      <w:r>
        <w:rPr>
          <w:rFonts w:hint="default"/>
        </w:rPr>
        <w:t>四、项目成果</w:t>
      </w:r>
    </w:p>
    <w:p w14:paraId="3AA4FDAA">
      <w:pPr>
        <w:rPr>
          <w:rFonts w:hint="default"/>
        </w:rPr>
      </w:pPr>
      <w:r>
        <w:rPr>
          <w:rFonts w:hint="default"/>
        </w:rPr>
        <w:t>“中华慈善日”、“慈善北京”宣传主视觉，并在户外公共设施广泛推广。</w:t>
      </w:r>
      <w:r>
        <w:rPr>
          <w:rFonts w:hint="default"/>
        </w:rPr>
        <w:br w:type="page"/>
      </w:r>
    </w:p>
    <w:p w14:paraId="14191A98">
      <w:pPr>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评分标准</w:t>
      </w:r>
    </w:p>
    <w:p w14:paraId="72D294C9">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w:t>
      </w:r>
      <w:r>
        <w:rPr>
          <w:rFonts w:hint="eastAsia"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包：</w:t>
      </w:r>
      <w:r>
        <w:rPr>
          <w:rFonts w:hint="eastAsia" w:ascii="Times New Roman" w:hAnsi="Times New Roman" w:cs="Times New Roman"/>
          <w:b/>
          <w:bCs/>
          <w:color w:val="auto"/>
          <w:sz w:val="21"/>
          <w:szCs w:val="21"/>
          <w:highlight w:val="none"/>
          <w:lang w:eastAsia="zh-CN"/>
        </w:rPr>
        <w:t>新闻视频制作服务</w:t>
      </w:r>
    </w:p>
    <w:tbl>
      <w:tblPr>
        <w:tblStyle w:val="7"/>
        <w:tblW w:w="5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069"/>
        <w:gridCol w:w="1138"/>
        <w:gridCol w:w="610"/>
        <w:gridCol w:w="7254"/>
      </w:tblGrid>
      <w:tr w14:paraId="4AE95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12" w:type="pct"/>
            <w:tcBorders>
              <w:top w:val="single" w:color="auto" w:sz="4" w:space="0"/>
              <w:left w:val="single" w:color="auto" w:sz="4" w:space="0"/>
              <w:right w:val="single" w:color="auto" w:sz="4" w:space="0"/>
            </w:tcBorders>
            <w:noWrap w:val="0"/>
            <w:vAlign w:val="center"/>
          </w:tcPr>
          <w:p w14:paraId="06DC98AC">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508" w:type="pct"/>
            <w:tcBorders>
              <w:top w:val="single" w:color="auto" w:sz="4" w:space="0"/>
              <w:left w:val="single" w:color="auto" w:sz="4" w:space="0"/>
              <w:right w:val="single" w:color="auto" w:sz="4" w:space="0"/>
            </w:tcBorders>
            <w:noWrap w:val="0"/>
            <w:vAlign w:val="center"/>
          </w:tcPr>
          <w:p w14:paraId="2F79E138">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4278" w:type="pct"/>
            <w:gridSpan w:val="3"/>
            <w:tcBorders>
              <w:top w:val="single" w:color="auto" w:sz="4" w:space="0"/>
              <w:left w:val="single" w:color="auto" w:sz="4" w:space="0"/>
              <w:right w:val="single" w:color="auto" w:sz="4" w:space="0"/>
            </w:tcBorders>
            <w:noWrap w:val="0"/>
            <w:vAlign w:val="center"/>
          </w:tcPr>
          <w:p w14:paraId="47B6B8FD">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72F4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tcBorders>
              <w:top w:val="single" w:color="auto" w:sz="4" w:space="0"/>
              <w:left w:val="single" w:color="auto" w:sz="4" w:space="0"/>
              <w:right w:val="single" w:color="auto" w:sz="4" w:space="0"/>
            </w:tcBorders>
            <w:noWrap w:val="0"/>
            <w:vAlign w:val="center"/>
          </w:tcPr>
          <w:p w14:paraId="7903447E">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08" w:type="pct"/>
            <w:tcBorders>
              <w:top w:val="single" w:color="auto" w:sz="4" w:space="0"/>
              <w:left w:val="single" w:color="auto" w:sz="4" w:space="0"/>
              <w:right w:val="single" w:color="auto" w:sz="4" w:space="0"/>
            </w:tcBorders>
            <w:noWrap w:val="0"/>
            <w:vAlign w:val="center"/>
          </w:tcPr>
          <w:p w14:paraId="1BD7EDE9">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5088E9E1">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1138" w:type="dxa"/>
            <w:tcBorders>
              <w:top w:val="single" w:color="auto" w:sz="4" w:space="0"/>
              <w:left w:val="single" w:color="auto" w:sz="4" w:space="0"/>
              <w:right w:val="single" w:color="auto" w:sz="4" w:space="0"/>
            </w:tcBorders>
            <w:noWrap w:val="0"/>
            <w:vAlign w:val="center"/>
          </w:tcPr>
          <w:p w14:paraId="77D6018D">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610" w:type="dxa"/>
            <w:tcBorders>
              <w:top w:val="single" w:color="auto" w:sz="4" w:space="0"/>
              <w:left w:val="single" w:color="auto" w:sz="4" w:space="0"/>
              <w:right w:val="single" w:color="auto" w:sz="4" w:space="0"/>
            </w:tcBorders>
            <w:noWrap w:val="0"/>
            <w:vAlign w:val="center"/>
          </w:tcPr>
          <w:p w14:paraId="3A8F4697">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255" w:type="dxa"/>
            <w:tcBorders>
              <w:top w:val="single" w:color="auto" w:sz="4" w:space="0"/>
              <w:left w:val="single" w:color="auto" w:sz="4" w:space="0"/>
              <w:right w:val="single" w:color="auto" w:sz="4" w:space="0"/>
            </w:tcBorders>
            <w:noWrap w:val="0"/>
            <w:vAlign w:val="center"/>
          </w:tcPr>
          <w:p w14:paraId="0D3D32EC">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综合考虑供应商自20</w:t>
            </w:r>
            <w:r>
              <w:rPr>
                <w:rFonts w:hint="default" w:ascii="Times New Roman" w:hAnsi="Times New Roman" w:eastAsia="宋体" w:cs="Times New Roman"/>
                <w:color w:val="auto"/>
                <w:sz w:val="21"/>
                <w:szCs w:val="21"/>
                <w:highlight w:val="none"/>
                <w:lang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年1月1日起至今</w:t>
            </w:r>
            <w:r>
              <w:rPr>
                <w:rFonts w:hint="eastAsia" w:cs="Times New Roman"/>
                <w:color w:val="auto"/>
                <w:sz w:val="21"/>
                <w:szCs w:val="21"/>
                <w:highlight w:val="none"/>
                <w:lang w:val="en-US" w:eastAsia="zh-CN"/>
              </w:rPr>
              <w:t>承担过的</w:t>
            </w:r>
            <w:r>
              <w:rPr>
                <w:rFonts w:hint="default" w:ascii="Times New Roman" w:hAnsi="Times New Roman" w:eastAsia="宋体" w:cs="Times New Roman"/>
                <w:color w:val="auto"/>
                <w:sz w:val="21"/>
                <w:szCs w:val="21"/>
                <w:highlight w:val="none"/>
              </w:rPr>
              <w:t>与本项目类似的</w:t>
            </w:r>
            <w:r>
              <w:rPr>
                <w:rFonts w:hint="eastAsia" w:cs="Times New Roman"/>
                <w:color w:val="auto"/>
                <w:sz w:val="21"/>
                <w:szCs w:val="21"/>
                <w:highlight w:val="none"/>
                <w:lang w:val="en-US" w:eastAsia="zh-CN"/>
              </w:rPr>
              <w:t>项目业绩</w:t>
            </w:r>
            <w:r>
              <w:rPr>
                <w:rFonts w:hint="default" w:ascii="Times New Roman" w:hAnsi="Times New Roman" w:eastAsia="宋体" w:cs="Times New Roman"/>
                <w:color w:val="auto"/>
                <w:sz w:val="21"/>
                <w:szCs w:val="21"/>
                <w:highlight w:val="none"/>
              </w:rPr>
              <w:t>，每提供一个得2分，本项最高得10分。</w:t>
            </w:r>
          </w:p>
          <w:p w14:paraId="4E51F530">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（须提供包含合同关键内容页、金额页、签字盖章页在内的合同复印件并加盖供应商公章。）</w:t>
            </w:r>
          </w:p>
        </w:tc>
      </w:tr>
      <w:tr w14:paraId="1E34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restart"/>
            <w:tcBorders>
              <w:left w:val="single" w:color="auto" w:sz="4" w:space="0"/>
              <w:right w:val="single" w:color="auto" w:sz="4" w:space="0"/>
            </w:tcBorders>
            <w:noWrap w:val="0"/>
            <w:vAlign w:val="center"/>
          </w:tcPr>
          <w:p w14:paraId="1ED91CDC">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08" w:type="pct"/>
            <w:vMerge w:val="restart"/>
            <w:tcBorders>
              <w:left w:val="single" w:color="auto" w:sz="4" w:space="0"/>
              <w:right w:val="single" w:color="auto" w:sz="4" w:space="0"/>
            </w:tcBorders>
            <w:noWrap w:val="0"/>
            <w:vAlign w:val="center"/>
          </w:tcPr>
          <w:p w14:paraId="4CBA11C2">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项目方案（80分）</w:t>
            </w:r>
          </w:p>
        </w:tc>
        <w:tc>
          <w:tcPr>
            <w:tcW w:w="1138" w:type="dxa"/>
            <w:tcBorders>
              <w:top w:val="single" w:color="auto" w:sz="4" w:space="0"/>
              <w:left w:val="single" w:color="auto" w:sz="4" w:space="0"/>
              <w:right w:val="single" w:color="auto" w:sz="4" w:space="0"/>
            </w:tcBorders>
            <w:noWrap w:val="0"/>
            <w:vAlign w:val="center"/>
          </w:tcPr>
          <w:p w14:paraId="7BA86616">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610" w:type="dxa"/>
            <w:tcBorders>
              <w:top w:val="single" w:color="auto" w:sz="4" w:space="0"/>
              <w:left w:val="single" w:color="auto" w:sz="4" w:space="0"/>
              <w:right w:val="single" w:color="auto" w:sz="4" w:space="0"/>
            </w:tcBorders>
            <w:noWrap w:val="0"/>
            <w:vAlign w:val="center"/>
          </w:tcPr>
          <w:p w14:paraId="3040BB4E">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255" w:type="dxa"/>
            <w:tcBorders>
              <w:top w:val="single" w:color="auto" w:sz="4" w:space="0"/>
              <w:left w:val="single" w:color="auto" w:sz="4" w:space="0"/>
              <w:right w:val="single" w:color="auto" w:sz="4" w:space="0"/>
            </w:tcBorders>
            <w:noWrap w:val="0"/>
            <w:vAlign w:val="center"/>
          </w:tcPr>
          <w:p w14:paraId="34B8C7BD">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针对采购需求所提供的</w:t>
            </w:r>
            <w:r>
              <w:rPr>
                <w:rFonts w:hint="default" w:ascii="Times New Roman" w:hAnsi="Times New Roman" w:eastAsia="宋体" w:cs="Times New Roman"/>
                <w:b/>
                <w:color w:val="auto"/>
                <w:kern w:val="0"/>
                <w:sz w:val="21"/>
                <w:szCs w:val="21"/>
                <w:highlight w:val="none"/>
              </w:rPr>
              <w:t>项目分析</w:t>
            </w:r>
            <w:r>
              <w:rPr>
                <w:rFonts w:hint="default" w:ascii="Times New Roman" w:hAnsi="Times New Roman" w:eastAsia="宋体" w:cs="Times New Roman"/>
                <w:color w:val="auto"/>
                <w:kern w:val="0"/>
                <w:sz w:val="21"/>
                <w:szCs w:val="21"/>
                <w:highlight w:val="none"/>
              </w:rPr>
              <w:t>，项目分析包括但</w:t>
            </w:r>
            <w:r>
              <w:rPr>
                <w:rFonts w:hint="default" w:ascii="Times New Roman" w:hAnsi="Times New Roman" w:eastAsia="宋体" w:cs="Times New Roman"/>
                <w:b w:val="0"/>
                <w:bCs w:val="0"/>
                <w:color w:val="auto"/>
                <w:kern w:val="0"/>
                <w:sz w:val="21"/>
                <w:szCs w:val="21"/>
                <w:highlight w:val="none"/>
              </w:rPr>
              <w:t>不限于项目背景及相关主题、项目重难点等</w:t>
            </w:r>
            <w:r>
              <w:rPr>
                <w:rFonts w:hint="default" w:ascii="Times New Roman" w:hAnsi="Times New Roman" w:eastAsia="宋体" w:cs="Times New Roman"/>
                <w:color w:val="auto"/>
                <w:kern w:val="0"/>
                <w:sz w:val="21"/>
                <w:szCs w:val="21"/>
                <w:highlight w:val="none"/>
              </w:rPr>
              <w:t>。</w:t>
            </w:r>
          </w:p>
          <w:p w14:paraId="53EDE472">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项目分析具有针对性、熟悉项目主题、对项目主旨理解深入、重难点分析全面到位，了解民政工作、对民政工作有深入了解：10分；</w:t>
            </w:r>
          </w:p>
          <w:p w14:paraId="1F92DA9A">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项目分析针对性较强、对项目主题了解较深入、对项目主旨理解较深入、重难点分析较全面，对民政工作有一定的了解：8分；</w:t>
            </w:r>
          </w:p>
          <w:p w14:paraId="12896AB7">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项目分析针对性一般、对项目主题了解一般、对项目主旨理解一般、重难点分析一般，对民政工作有一般性了解：6分；</w:t>
            </w:r>
          </w:p>
          <w:p w14:paraId="69EB5E3A">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项目分析针对性较差、对项目主题了解较少、对项目主旨理解较差、重难点分析较差，对民政工作的了解及认识有欠缺：4分；</w:t>
            </w:r>
          </w:p>
          <w:p w14:paraId="61815E7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项目分析针对性差、未理解项目主题、无重难点分析：2分；</w:t>
            </w:r>
          </w:p>
          <w:p w14:paraId="3F3D4048">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5D37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672D18FA">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7FC34EFD">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vMerge w:val="restart"/>
            <w:tcBorders>
              <w:top w:val="single" w:color="auto" w:sz="4" w:space="0"/>
              <w:left w:val="single" w:color="auto" w:sz="4" w:space="0"/>
              <w:right w:val="single" w:color="auto" w:sz="4" w:space="0"/>
            </w:tcBorders>
            <w:noWrap w:val="0"/>
            <w:vAlign w:val="center"/>
          </w:tcPr>
          <w:p w14:paraId="2F6A6F45">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《北京民政新闻》及宣传视频制作</w:t>
            </w:r>
            <w:r>
              <w:rPr>
                <w:rFonts w:hint="eastAsia" w:cs="Times New Roman"/>
                <w:color w:val="auto"/>
                <w:sz w:val="21"/>
                <w:szCs w:val="21"/>
                <w:highlight w:val="none"/>
                <w:lang w:val="en-US" w:eastAsia="zh-CN"/>
              </w:rPr>
              <w:t>播出</w:t>
            </w:r>
            <w:r>
              <w:rPr>
                <w:rFonts w:hint="default" w:ascii="Times New Roman" w:hAnsi="Times New Roman" w:eastAsia="宋体" w:cs="Times New Roman"/>
                <w:color w:val="auto"/>
                <w:sz w:val="21"/>
                <w:szCs w:val="21"/>
                <w:highlight w:val="none"/>
              </w:rPr>
              <w:t>方案</w:t>
            </w:r>
          </w:p>
        </w:tc>
        <w:tc>
          <w:tcPr>
            <w:tcW w:w="610" w:type="dxa"/>
            <w:tcBorders>
              <w:top w:val="single" w:color="auto" w:sz="4" w:space="0"/>
              <w:left w:val="single" w:color="auto" w:sz="4" w:space="0"/>
              <w:right w:val="single" w:color="auto" w:sz="4" w:space="0"/>
            </w:tcBorders>
            <w:shd w:val="clear" w:color="auto" w:fill="auto"/>
            <w:noWrap w:val="0"/>
            <w:vAlign w:val="center"/>
          </w:tcPr>
          <w:p w14:paraId="39E6693A">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tc>
        <w:tc>
          <w:tcPr>
            <w:tcW w:w="7255" w:type="dxa"/>
            <w:tcBorders>
              <w:top w:val="single" w:color="auto" w:sz="4" w:space="0"/>
              <w:left w:val="single" w:color="auto" w:sz="4" w:space="0"/>
              <w:right w:val="single" w:color="auto" w:sz="4" w:space="0"/>
            </w:tcBorders>
            <w:shd w:val="clear" w:color="auto" w:fill="auto"/>
            <w:noWrap w:val="0"/>
            <w:vAlign w:val="center"/>
          </w:tcPr>
          <w:p w14:paraId="2E094C48">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视频策划方案</w:t>
            </w:r>
            <w:r>
              <w:rPr>
                <w:rFonts w:hint="default" w:ascii="Times New Roman" w:hAnsi="Times New Roman" w:eastAsia="宋体" w:cs="Times New Roman"/>
                <w:color w:val="auto"/>
                <w:kern w:val="0"/>
                <w:sz w:val="21"/>
                <w:szCs w:val="21"/>
                <w:highlight w:val="none"/>
              </w:rPr>
              <w:t>。</w:t>
            </w:r>
          </w:p>
          <w:p w14:paraId="663381A2">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w:t>
            </w:r>
            <w:r>
              <w:rPr>
                <w:rFonts w:hint="default" w:ascii="Times New Roman" w:hAnsi="Times New Roman" w:eastAsia="宋体" w:cs="Times New Roman"/>
                <w:color w:val="auto"/>
                <w:sz w:val="21"/>
                <w:szCs w:val="21"/>
                <w:highlight w:val="none"/>
              </w:rPr>
              <w:t>内容定位精准、专业</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rPr>
              <w:t>策划新颖独特，主题内容鲜明（围绕基本民生保障、基本社会服务等相关内容），受众适用性强，完全满足采购需求：</w:t>
            </w:r>
            <w:r>
              <w:rPr>
                <w:rFonts w:hint="eastAsia" w:ascii="Times New Roman" w:hAnsi="Times New Roman" w:cs="Times New Roman"/>
                <w:color w:val="auto"/>
                <w:kern w:val="0"/>
                <w:sz w:val="21"/>
                <w:szCs w:val="21"/>
                <w:highlight w:val="none"/>
                <w:lang w:val="en-US" w:eastAsia="zh-CN"/>
              </w:rPr>
              <w:t>10</w:t>
            </w:r>
            <w:r>
              <w:rPr>
                <w:rFonts w:hint="default" w:ascii="Times New Roman" w:hAnsi="Times New Roman" w:eastAsia="宋体" w:cs="Times New Roman"/>
                <w:color w:val="auto"/>
                <w:kern w:val="0"/>
                <w:sz w:val="21"/>
                <w:szCs w:val="21"/>
                <w:highlight w:val="none"/>
              </w:rPr>
              <w:t>分；</w:t>
            </w:r>
          </w:p>
          <w:p w14:paraId="1B345452">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w:t>
            </w:r>
            <w:r>
              <w:rPr>
                <w:rFonts w:hint="default" w:ascii="Times New Roman" w:hAnsi="Times New Roman" w:eastAsia="宋体" w:cs="Times New Roman"/>
                <w:color w:val="auto"/>
                <w:sz w:val="21"/>
                <w:szCs w:val="21"/>
                <w:highlight w:val="none"/>
              </w:rPr>
              <w:t>内容定位较为准确</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rPr>
              <w:t>策划较为新颖，主题内容突出（围绕基本民生保障、基本社会服务等相关内容），受众适用性较强，基本满足采购需求：</w:t>
            </w:r>
            <w:r>
              <w:rPr>
                <w:rFonts w:hint="eastAsia" w:ascii="Times New Roman" w:hAnsi="Times New Roman"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分；</w:t>
            </w:r>
          </w:p>
          <w:p w14:paraId="6B58A7F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w:t>
            </w:r>
            <w:r>
              <w:rPr>
                <w:rFonts w:hint="default" w:ascii="Times New Roman" w:hAnsi="Times New Roman" w:eastAsia="宋体" w:cs="Times New Roman"/>
                <w:color w:val="auto"/>
                <w:sz w:val="21"/>
                <w:szCs w:val="21"/>
                <w:highlight w:val="none"/>
              </w:rPr>
              <w:t>内容定位</w:t>
            </w:r>
            <w:r>
              <w:rPr>
                <w:rFonts w:hint="eastAsia" w:ascii="Times New Roman" w:hAnsi="Times New Roman" w:cs="Times New Roman"/>
                <w:color w:val="auto"/>
                <w:sz w:val="21"/>
                <w:szCs w:val="21"/>
                <w:highlight w:val="none"/>
                <w:lang w:val="en-US" w:eastAsia="zh-CN"/>
              </w:rPr>
              <w:t>基本准确，</w:t>
            </w:r>
            <w:r>
              <w:rPr>
                <w:rFonts w:hint="default" w:ascii="Times New Roman" w:hAnsi="Times New Roman" w:eastAsia="宋体" w:cs="Times New Roman"/>
                <w:color w:val="auto"/>
                <w:kern w:val="0"/>
                <w:sz w:val="21"/>
                <w:szCs w:val="21"/>
                <w:highlight w:val="none"/>
              </w:rPr>
              <w:t>策划方案通用，主题内容策划</w:t>
            </w:r>
            <w:r>
              <w:rPr>
                <w:rFonts w:hint="eastAsia" w:ascii="Times New Roman" w:hAnsi="Times New Roman" w:cs="Times New Roman"/>
                <w:color w:val="auto"/>
                <w:kern w:val="0"/>
                <w:sz w:val="21"/>
                <w:szCs w:val="21"/>
                <w:highlight w:val="none"/>
                <w:lang w:val="en-US" w:eastAsia="zh-CN"/>
              </w:rPr>
              <w:t>基本符合采购需求</w:t>
            </w:r>
            <w:r>
              <w:rPr>
                <w:rFonts w:hint="default" w:ascii="Times New Roman" w:hAnsi="Times New Roman" w:eastAsia="宋体" w:cs="Times New Roman"/>
                <w:color w:val="auto"/>
                <w:kern w:val="0"/>
                <w:sz w:val="21"/>
                <w:szCs w:val="21"/>
                <w:highlight w:val="none"/>
              </w:rPr>
              <w:t>，有一定的受众适用性：</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分；</w:t>
            </w:r>
          </w:p>
          <w:p w14:paraId="5DAD7E24">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w:t>
            </w:r>
            <w:r>
              <w:rPr>
                <w:rFonts w:hint="eastAsia" w:ascii="Times New Roman" w:hAnsi="Times New Roman" w:cs="Times New Roman"/>
                <w:color w:val="auto"/>
                <w:kern w:val="0"/>
                <w:sz w:val="21"/>
                <w:szCs w:val="21"/>
                <w:highlight w:val="none"/>
                <w:lang w:val="en-US" w:eastAsia="zh-CN"/>
              </w:rPr>
              <w:t>较简单</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sz w:val="21"/>
                <w:szCs w:val="21"/>
                <w:highlight w:val="none"/>
              </w:rPr>
              <w:t>内容定位不存在明显偏差</w:t>
            </w:r>
            <w:r>
              <w:rPr>
                <w:rFonts w:hint="default" w:ascii="Times New Roman" w:hAnsi="Times New Roman" w:eastAsia="宋体" w:cs="Times New Roman"/>
                <w:color w:val="auto"/>
                <w:kern w:val="0"/>
                <w:sz w:val="21"/>
                <w:szCs w:val="21"/>
                <w:highlight w:val="none"/>
              </w:rPr>
              <w:t>，主题内容策划不明显，受众适用性较差：</w:t>
            </w: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分；</w:t>
            </w:r>
          </w:p>
          <w:p w14:paraId="6AF63A2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方案完整度差，策划方案内容缺失较多，主题内容策划不明显，受众适用性差：2分；</w:t>
            </w:r>
          </w:p>
          <w:p w14:paraId="2FD0DD7F">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未提供任何材料：0分。</w:t>
            </w:r>
          </w:p>
        </w:tc>
      </w:tr>
      <w:tr w14:paraId="285B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1883A21F">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41669E76">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vMerge w:val="continue"/>
            <w:tcBorders>
              <w:left w:val="single" w:color="auto" w:sz="4" w:space="0"/>
              <w:right w:val="single" w:color="auto" w:sz="4" w:space="0"/>
            </w:tcBorders>
            <w:noWrap w:val="0"/>
            <w:vAlign w:val="center"/>
          </w:tcPr>
          <w:p w14:paraId="2E069DAD">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0" w:type="dxa"/>
            <w:tcBorders>
              <w:top w:val="single" w:color="auto" w:sz="4" w:space="0"/>
              <w:left w:val="single" w:color="auto" w:sz="4" w:space="0"/>
              <w:right w:val="single" w:color="auto" w:sz="4" w:space="0"/>
            </w:tcBorders>
            <w:noWrap w:val="0"/>
            <w:vAlign w:val="center"/>
          </w:tcPr>
          <w:p w14:paraId="2B354532">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7255" w:type="dxa"/>
            <w:tcBorders>
              <w:top w:val="single" w:color="auto" w:sz="4" w:space="0"/>
              <w:left w:val="single" w:color="auto" w:sz="4" w:space="0"/>
              <w:right w:val="single" w:color="auto" w:sz="4" w:space="0"/>
            </w:tcBorders>
            <w:noWrap w:val="0"/>
            <w:vAlign w:val="center"/>
          </w:tcPr>
          <w:p w14:paraId="09ECD54A">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w:t>
            </w:r>
            <w:r>
              <w:rPr>
                <w:rFonts w:hint="eastAsia" w:cs="Times New Roman"/>
                <w:color w:val="auto"/>
                <w:kern w:val="0"/>
                <w:sz w:val="21"/>
                <w:szCs w:val="21"/>
                <w:highlight w:val="none"/>
                <w:lang w:val="en-US" w:eastAsia="zh-CN"/>
              </w:rPr>
              <w:t>察</w:t>
            </w:r>
            <w:r>
              <w:rPr>
                <w:rFonts w:hint="default" w:ascii="Times New Roman" w:hAnsi="Times New Roman" w:eastAsia="宋体" w:cs="Times New Roman"/>
                <w:color w:val="auto"/>
                <w:kern w:val="0"/>
                <w:sz w:val="21"/>
                <w:szCs w:val="21"/>
                <w:highlight w:val="none"/>
              </w:rPr>
              <w:t>供应商提供的</w:t>
            </w:r>
            <w:r>
              <w:rPr>
                <w:rFonts w:hint="default" w:ascii="Times New Roman" w:hAnsi="Times New Roman" w:eastAsia="宋体" w:cs="Times New Roman"/>
                <w:color w:val="auto"/>
                <w:sz w:val="21"/>
                <w:szCs w:val="21"/>
                <w:highlight w:val="none"/>
              </w:rPr>
              <w:t>《北京民政新闻》及宣传视频</w:t>
            </w:r>
            <w:r>
              <w:rPr>
                <w:rFonts w:hint="eastAsia" w:cs="Times New Roman"/>
                <w:color w:val="auto"/>
                <w:sz w:val="21"/>
                <w:szCs w:val="21"/>
                <w:highlight w:val="none"/>
                <w:lang w:eastAsia="zh-CN"/>
              </w:rPr>
              <w:t>的</w:t>
            </w:r>
            <w:r>
              <w:rPr>
                <w:rFonts w:hint="eastAsia" w:cs="Times New Roman"/>
                <w:b/>
                <w:bCs/>
                <w:color w:val="auto"/>
                <w:kern w:val="0"/>
                <w:sz w:val="21"/>
                <w:szCs w:val="21"/>
                <w:highlight w:val="none"/>
                <w:lang w:val="en-US" w:eastAsia="zh-CN"/>
              </w:rPr>
              <w:t>拍摄</w:t>
            </w:r>
            <w:r>
              <w:rPr>
                <w:rFonts w:hint="default" w:ascii="Times New Roman" w:hAnsi="Times New Roman" w:eastAsia="宋体" w:cs="Times New Roman"/>
                <w:b/>
                <w:bCs/>
                <w:color w:val="auto"/>
                <w:kern w:val="0"/>
                <w:sz w:val="21"/>
                <w:szCs w:val="21"/>
                <w:highlight w:val="none"/>
              </w:rPr>
              <w:t>方案</w:t>
            </w:r>
            <w:r>
              <w:rPr>
                <w:rFonts w:hint="default" w:ascii="Times New Roman" w:hAnsi="Times New Roman" w:eastAsia="宋体" w:cs="Times New Roman"/>
                <w:color w:val="auto"/>
                <w:kern w:val="0"/>
                <w:sz w:val="21"/>
                <w:szCs w:val="21"/>
                <w:highlight w:val="none"/>
              </w:rPr>
              <w:t>。</w:t>
            </w:r>
          </w:p>
          <w:p w14:paraId="4AF6DC3F">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方案完整度高、拍摄工作流程极清晰、拍摄方式多样、拍摄思路清晰，完全满足采购需求：12分；</w:t>
            </w:r>
          </w:p>
          <w:p w14:paraId="3507D8F8">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方案完整、拍摄工作流程清晰、拍摄方式样式较多、具有拍摄思路，可以满足采购需求：10分；</w:t>
            </w:r>
          </w:p>
          <w:p w14:paraId="5F3457D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方案基本完整、具有拍摄工作流程但不清晰、拍摄方式及拍摄思路单调，基本满足采购需求：7分；</w:t>
            </w:r>
          </w:p>
          <w:p w14:paraId="0BFC19A6">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方案完整度欠佳、拍摄工作流程及拍摄方式简单、拍摄思路不清晰，勉强满足采购需求：4分；</w:t>
            </w:r>
          </w:p>
          <w:p w14:paraId="631098CC">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方案不完整、拍摄工作流程混乱、拍摄方式少、拍摄思路混乱，难以完全满足采购需求：1分；</w:t>
            </w:r>
          </w:p>
          <w:p w14:paraId="534EB8DD">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64AA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5C9C0F84">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6B1E8E80">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vMerge w:val="continue"/>
            <w:tcBorders>
              <w:left w:val="single" w:color="auto" w:sz="4" w:space="0"/>
              <w:right w:val="single" w:color="auto" w:sz="4" w:space="0"/>
            </w:tcBorders>
            <w:noWrap w:val="0"/>
            <w:vAlign w:val="center"/>
          </w:tcPr>
          <w:p w14:paraId="2F68AD7D">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0" w:type="dxa"/>
            <w:tcBorders>
              <w:top w:val="single" w:color="auto" w:sz="4" w:space="0"/>
              <w:left w:val="single" w:color="auto" w:sz="4" w:space="0"/>
              <w:right w:val="single" w:color="auto" w:sz="4" w:space="0"/>
            </w:tcBorders>
            <w:shd w:val="clear" w:color="auto" w:fill="auto"/>
            <w:noWrap w:val="0"/>
            <w:vAlign w:val="center"/>
          </w:tcPr>
          <w:p w14:paraId="4EB2B809">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8分</w:t>
            </w:r>
          </w:p>
        </w:tc>
        <w:tc>
          <w:tcPr>
            <w:tcW w:w="7255" w:type="dxa"/>
            <w:tcBorders>
              <w:top w:val="single" w:color="auto" w:sz="4" w:space="0"/>
              <w:left w:val="single" w:color="auto" w:sz="4" w:space="0"/>
              <w:right w:val="single" w:color="auto" w:sz="4" w:space="0"/>
            </w:tcBorders>
            <w:shd w:val="clear" w:color="auto" w:fill="auto"/>
            <w:noWrap w:val="0"/>
            <w:vAlign w:val="center"/>
          </w:tcPr>
          <w:p w14:paraId="0DF0B297">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后期制作方案</w:t>
            </w:r>
            <w:r>
              <w:rPr>
                <w:rFonts w:hint="default" w:ascii="Times New Roman" w:hAnsi="Times New Roman" w:eastAsia="宋体" w:cs="Times New Roman"/>
                <w:color w:val="auto"/>
                <w:kern w:val="0"/>
                <w:sz w:val="21"/>
                <w:szCs w:val="21"/>
                <w:highlight w:val="none"/>
              </w:rPr>
              <w:t>，对采购需求的响应程度。</w:t>
            </w:r>
          </w:p>
          <w:p w14:paraId="62368D59">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方案完整度高、制作流程明确、手法多样、视觉观赏性好，高度符合项目需要，完全满足采购需求：8分；</w:t>
            </w:r>
          </w:p>
          <w:p w14:paraId="47B4176F">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方案完整、制作流程基本清晰、手法较多、具有一定视觉观赏性，符合项目需要，可以满足采购需求：6分；</w:t>
            </w:r>
          </w:p>
          <w:p w14:paraId="2117E700">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方案基本完整、制作流程及手法普通、视觉观赏性欠佳，基本符合项目需要：4分；</w:t>
            </w:r>
          </w:p>
          <w:p w14:paraId="4A6ADC5F">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方案不完整、制作流程混乱、手法缺失，无法完全满足采购需求：2分；</w:t>
            </w:r>
          </w:p>
          <w:p w14:paraId="3C88F916">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未提供任何方案：0分。</w:t>
            </w:r>
          </w:p>
        </w:tc>
      </w:tr>
      <w:tr w14:paraId="09E5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4F701838">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3733956A">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vMerge w:val="continue"/>
            <w:tcBorders>
              <w:left w:val="single" w:color="auto" w:sz="4" w:space="0"/>
              <w:right w:val="single" w:color="auto" w:sz="4" w:space="0"/>
            </w:tcBorders>
            <w:noWrap w:val="0"/>
            <w:vAlign w:val="center"/>
          </w:tcPr>
          <w:p w14:paraId="2500BB44">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0" w:type="dxa"/>
            <w:tcBorders>
              <w:top w:val="single" w:color="auto" w:sz="4" w:space="0"/>
              <w:left w:val="single" w:color="auto" w:sz="4" w:space="0"/>
              <w:right w:val="single" w:color="auto" w:sz="4" w:space="0"/>
            </w:tcBorders>
            <w:noWrap w:val="0"/>
            <w:vAlign w:val="center"/>
          </w:tcPr>
          <w:p w14:paraId="6E8F14A6">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5分</w:t>
            </w:r>
          </w:p>
        </w:tc>
        <w:tc>
          <w:tcPr>
            <w:tcW w:w="7255" w:type="dxa"/>
            <w:tcBorders>
              <w:top w:val="single" w:color="auto" w:sz="4" w:space="0"/>
              <w:left w:val="single" w:color="auto" w:sz="4" w:space="0"/>
              <w:right w:val="single" w:color="auto" w:sz="4" w:space="0"/>
            </w:tcBorders>
            <w:noWrap w:val="0"/>
            <w:vAlign w:val="center"/>
          </w:tcPr>
          <w:p w14:paraId="22622B8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综合考虑供应商针对本项目可提供的</w:t>
            </w:r>
            <w:r>
              <w:rPr>
                <w:rFonts w:hint="default" w:ascii="Times New Roman" w:hAnsi="Times New Roman" w:eastAsia="宋体" w:cs="Times New Roman"/>
                <w:b/>
                <w:bCs/>
                <w:color w:val="auto"/>
                <w:sz w:val="21"/>
                <w:szCs w:val="21"/>
                <w:highlight w:val="none"/>
              </w:rPr>
              <w:t>实施设备投入情况</w:t>
            </w:r>
            <w:r>
              <w:rPr>
                <w:rFonts w:hint="default" w:ascii="Times New Roman" w:hAnsi="Times New Roman" w:eastAsia="宋体" w:cs="Times New Roman"/>
                <w:color w:val="auto"/>
                <w:sz w:val="21"/>
                <w:szCs w:val="21"/>
                <w:highlight w:val="none"/>
              </w:rPr>
              <w:t>。</w:t>
            </w:r>
          </w:p>
          <w:p w14:paraId="43E52B2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实施设备种类众多、技术先进：</w:t>
            </w: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p w14:paraId="4C809184">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实施设备种类一般、技术条件一般、基本满足使用：</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p w14:paraId="327C29CA">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实施设备种类较少、技术条件较差：1分；</w:t>
            </w:r>
          </w:p>
          <w:p w14:paraId="47551795">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未提供任何材料：0分。</w:t>
            </w:r>
          </w:p>
        </w:tc>
      </w:tr>
      <w:tr w14:paraId="6890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1175146F">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14FAA5B2">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vMerge w:val="continue"/>
            <w:tcBorders>
              <w:left w:val="single" w:color="auto" w:sz="4" w:space="0"/>
              <w:right w:val="single" w:color="auto" w:sz="4" w:space="0"/>
            </w:tcBorders>
            <w:noWrap w:val="0"/>
            <w:vAlign w:val="center"/>
          </w:tcPr>
          <w:p w14:paraId="09C7EAD7">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0" w:type="dxa"/>
            <w:tcBorders>
              <w:left w:val="single" w:color="auto" w:sz="4" w:space="0"/>
              <w:right w:val="single" w:color="auto" w:sz="4" w:space="0"/>
            </w:tcBorders>
            <w:noWrap w:val="0"/>
            <w:vAlign w:val="center"/>
          </w:tcPr>
          <w:p w14:paraId="6117055E">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8分</w:t>
            </w:r>
          </w:p>
        </w:tc>
        <w:tc>
          <w:tcPr>
            <w:tcW w:w="7255" w:type="dxa"/>
            <w:tcBorders>
              <w:top w:val="single" w:color="auto" w:sz="4" w:space="0"/>
              <w:left w:val="single" w:color="auto" w:sz="4" w:space="0"/>
              <w:right w:val="single" w:color="auto" w:sz="4" w:space="0"/>
            </w:tcBorders>
            <w:shd w:val="clear" w:color="auto" w:fill="auto"/>
            <w:noWrap w:val="0"/>
            <w:vAlign w:val="center"/>
          </w:tcPr>
          <w:p w14:paraId="6AB4BC79">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val="0"/>
                <w:bCs/>
                <w:color w:val="auto"/>
                <w:sz w:val="21"/>
                <w:szCs w:val="21"/>
                <w:highlight w:val="none"/>
              </w:rPr>
              <w:t>结合</w:t>
            </w:r>
            <w:r>
              <w:rPr>
                <w:rFonts w:hint="default" w:ascii="Times New Roman" w:hAnsi="Times New Roman" w:eastAsia="宋体" w:cs="Times New Roman"/>
                <w:b w:val="0"/>
                <w:bCs/>
                <w:color w:val="auto"/>
                <w:kern w:val="0"/>
                <w:sz w:val="21"/>
                <w:szCs w:val="21"/>
                <w:highlight w:val="none"/>
              </w:rPr>
              <w:t>采购需求的播出要求，综合考虑供应商提供的</w:t>
            </w:r>
            <w:r>
              <w:rPr>
                <w:rFonts w:hint="default" w:ascii="Times New Roman" w:hAnsi="Times New Roman" w:eastAsia="宋体" w:cs="Times New Roman"/>
                <w:b/>
                <w:color w:val="auto"/>
                <w:kern w:val="0"/>
                <w:sz w:val="21"/>
                <w:szCs w:val="21"/>
                <w:highlight w:val="none"/>
              </w:rPr>
              <w:t>播出方案：</w:t>
            </w:r>
          </w:p>
          <w:p w14:paraId="2EF5BED2">
            <w:pPr>
              <w:pStyle w:val="3"/>
              <w:keepNext w:val="0"/>
              <w:keepLines w:val="0"/>
              <w:pageBreakBefore w:val="0"/>
              <w:widowControl w:val="0"/>
              <w:kinsoku/>
              <w:wordWrap/>
              <w:overflowPunct/>
              <w:topLinePunct w:val="0"/>
              <w:bidi w:val="0"/>
              <w:snapToGrid w:val="0"/>
              <w:spacing w:line="340" w:lineRule="exact"/>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方案完善、科学，可行性强，</w:t>
            </w:r>
            <w:r>
              <w:rPr>
                <w:rFonts w:hint="eastAsia" w:ascii="Times New Roman" w:hAnsi="Times New Roman" w:cs="Times New Roman"/>
                <w:color w:val="auto"/>
                <w:sz w:val="21"/>
                <w:szCs w:val="21"/>
                <w:highlight w:val="none"/>
                <w:lang w:val="en-US" w:eastAsia="zh-CN"/>
              </w:rPr>
              <w:t>能对采购人各新官方媒体平台制定针对性的播出实施计划，</w:t>
            </w:r>
            <w:r>
              <w:rPr>
                <w:rFonts w:hint="default" w:ascii="Times New Roman" w:hAnsi="Times New Roman" w:eastAsia="宋体" w:cs="Times New Roman"/>
                <w:color w:val="auto"/>
                <w:sz w:val="21"/>
                <w:szCs w:val="21"/>
                <w:highlight w:val="none"/>
              </w:rPr>
              <w:t>完全满足或优于采购需求</w:t>
            </w:r>
            <w:r>
              <w:rPr>
                <w:rFonts w:hint="eastAsia" w:ascii="Times New Roman" w:hAnsi="Times New Roman" w:cs="Times New Roman"/>
                <w:color w:val="auto"/>
                <w:sz w:val="21"/>
                <w:szCs w:val="21"/>
                <w:highlight w:val="none"/>
                <w:lang w:val="en-US" w:eastAsia="zh-CN"/>
              </w:rPr>
              <w:t>，能配合采购人做好播出工作</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分；</w:t>
            </w:r>
          </w:p>
          <w:p w14:paraId="377D57D3">
            <w:pPr>
              <w:pStyle w:val="3"/>
              <w:keepNext w:val="0"/>
              <w:keepLines w:val="0"/>
              <w:pageBreakBefore w:val="0"/>
              <w:widowControl w:val="0"/>
              <w:kinsoku/>
              <w:wordWrap/>
              <w:overflowPunct/>
              <w:topLinePunct w:val="0"/>
              <w:bidi w:val="0"/>
              <w:snapToGrid w:val="0"/>
              <w:spacing w:line="340" w:lineRule="exact"/>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方案较为完整、可行，</w:t>
            </w:r>
            <w:r>
              <w:rPr>
                <w:rFonts w:hint="eastAsia" w:ascii="Times New Roman" w:hAnsi="Times New Roman" w:cs="Times New Roman"/>
                <w:color w:val="auto"/>
                <w:sz w:val="21"/>
                <w:szCs w:val="21"/>
                <w:highlight w:val="none"/>
                <w:lang w:val="en-US" w:eastAsia="zh-CN"/>
              </w:rPr>
              <w:t>有较好针对采购人各新官方媒体平台的播出实施计划</w:t>
            </w:r>
            <w:r>
              <w:rPr>
                <w:rFonts w:hint="default" w:ascii="Times New Roman" w:hAnsi="Times New Roman" w:eastAsia="宋体" w:cs="Times New Roman"/>
                <w:color w:val="auto"/>
                <w:sz w:val="21"/>
                <w:szCs w:val="21"/>
                <w:highlight w:val="none"/>
              </w:rPr>
              <w:t>，满足采购需求：</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p w14:paraId="53B04081">
            <w:pPr>
              <w:pStyle w:val="3"/>
              <w:keepNext w:val="0"/>
              <w:keepLines w:val="0"/>
              <w:pageBreakBefore w:val="0"/>
              <w:widowControl w:val="0"/>
              <w:kinsoku/>
              <w:wordWrap/>
              <w:overflowPunct/>
              <w:topLinePunct w:val="0"/>
              <w:bidi w:val="0"/>
              <w:snapToGrid w:val="0"/>
              <w:spacing w:line="340" w:lineRule="exact"/>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w:t>
            </w:r>
            <w:r>
              <w:rPr>
                <w:rFonts w:hint="eastAsia" w:ascii="Times New Roman" w:hAnsi="Times New Roman" w:cs="Times New Roman"/>
                <w:color w:val="auto"/>
                <w:sz w:val="21"/>
                <w:szCs w:val="21"/>
                <w:highlight w:val="none"/>
                <w:lang w:val="en-US" w:eastAsia="zh-CN"/>
              </w:rPr>
              <w:t>基本完整</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可行</w:t>
            </w:r>
            <w:r>
              <w:rPr>
                <w:rFonts w:hint="eastAsia" w:ascii="Times New Roman" w:hAnsi="Times New Roman" w:cs="Times New Roman"/>
                <w:color w:val="auto"/>
                <w:sz w:val="21"/>
                <w:szCs w:val="21"/>
                <w:highlight w:val="none"/>
                <w:lang w:val="en-US" w:eastAsia="zh-CN"/>
              </w:rPr>
              <w:t>性一般</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有一定针对采购人各新官方媒体平台的播出实施计划</w:t>
            </w:r>
            <w:r>
              <w:rPr>
                <w:rFonts w:hint="default" w:ascii="Times New Roman" w:hAnsi="Times New Roman" w:eastAsia="宋体"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能基本</w:t>
            </w:r>
            <w:r>
              <w:rPr>
                <w:rFonts w:hint="default" w:ascii="Times New Roman" w:hAnsi="Times New Roman" w:eastAsia="宋体" w:cs="Times New Roman"/>
                <w:color w:val="auto"/>
                <w:sz w:val="21"/>
                <w:szCs w:val="21"/>
                <w:highlight w:val="none"/>
              </w:rPr>
              <w:t>满足采购需求：</w:t>
            </w:r>
            <w:r>
              <w:rPr>
                <w:rFonts w:hint="eastAsia" w:ascii="Times New Roman" w:hAnsi="Times New Roman"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分；</w:t>
            </w:r>
          </w:p>
          <w:p w14:paraId="08066CDD">
            <w:pPr>
              <w:pStyle w:val="3"/>
              <w:keepNext w:val="0"/>
              <w:keepLines w:val="0"/>
              <w:pageBreakBefore w:val="0"/>
              <w:widowControl w:val="0"/>
              <w:kinsoku/>
              <w:wordWrap/>
              <w:overflowPunct/>
              <w:topLinePunct w:val="0"/>
              <w:bidi w:val="0"/>
              <w:snapToGrid w:val="0"/>
              <w:spacing w:line="340" w:lineRule="exact"/>
              <w:ind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方案描述简单，</w:t>
            </w:r>
            <w:r>
              <w:rPr>
                <w:rFonts w:hint="eastAsia" w:ascii="Times New Roman" w:hAnsi="Times New Roman" w:cs="Times New Roman"/>
                <w:color w:val="auto"/>
                <w:sz w:val="21"/>
                <w:szCs w:val="21"/>
                <w:highlight w:val="none"/>
                <w:lang w:val="en-US" w:eastAsia="zh-CN"/>
              </w:rPr>
              <w:t>对采购人各新官方媒体平台的播出实施计划简略，勉强</w:t>
            </w:r>
            <w:r>
              <w:rPr>
                <w:rFonts w:hint="default" w:ascii="Times New Roman" w:hAnsi="Times New Roman" w:eastAsia="宋体" w:cs="Times New Roman"/>
                <w:color w:val="auto"/>
                <w:sz w:val="21"/>
                <w:szCs w:val="21"/>
                <w:highlight w:val="none"/>
              </w:rPr>
              <w:t>满足采购需求：2分；</w:t>
            </w:r>
          </w:p>
          <w:p w14:paraId="113D283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方案不合理，</w:t>
            </w:r>
            <w:r>
              <w:rPr>
                <w:rFonts w:hint="eastAsia" w:ascii="Times New Roman" w:hAnsi="Times New Roman" w:cs="Times New Roman"/>
                <w:color w:val="auto"/>
                <w:sz w:val="21"/>
                <w:szCs w:val="21"/>
                <w:highlight w:val="none"/>
                <w:lang w:val="en-US" w:eastAsia="zh-CN"/>
              </w:rPr>
              <w:t>无法</w:t>
            </w:r>
            <w:r>
              <w:rPr>
                <w:rFonts w:hint="default" w:ascii="Times New Roman" w:hAnsi="Times New Roman" w:eastAsia="宋体" w:cs="Times New Roman"/>
                <w:color w:val="auto"/>
                <w:sz w:val="21"/>
                <w:szCs w:val="21"/>
                <w:highlight w:val="none"/>
              </w:rPr>
              <w:t>满足采购需求或未提供该方案：0分。</w:t>
            </w:r>
          </w:p>
        </w:tc>
      </w:tr>
      <w:tr w14:paraId="1E97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6D8944CD">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4F55153F">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tcBorders>
              <w:left w:val="single" w:color="auto" w:sz="4" w:space="0"/>
              <w:right w:val="single" w:color="auto" w:sz="4" w:space="0"/>
            </w:tcBorders>
            <w:noWrap w:val="0"/>
            <w:vAlign w:val="center"/>
          </w:tcPr>
          <w:p w14:paraId="30E056C4">
            <w:pPr>
              <w:keepNext w:val="0"/>
              <w:keepLines w:val="0"/>
              <w:pageBreakBefore w:val="0"/>
              <w:widowControl w:val="0"/>
              <w:kinsoku/>
              <w:wordWrap/>
              <w:overflowPunct/>
              <w:topLinePunct w:val="0"/>
              <w:bidi w:val="0"/>
              <w:snapToGrid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质量保证方案</w:t>
            </w:r>
          </w:p>
        </w:tc>
        <w:tc>
          <w:tcPr>
            <w:tcW w:w="610" w:type="dxa"/>
            <w:tcBorders>
              <w:left w:val="single" w:color="auto" w:sz="4" w:space="0"/>
              <w:right w:val="single" w:color="auto" w:sz="4" w:space="0"/>
            </w:tcBorders>
            <w:noWrap w:val="0"/>
            <w:vAlign w:val="center"/>
          </w:tcPr>
          <w:p w14:paraId="716F561E">
            <w:pPr>
              <w:keepNext w:val="0"/>
              <w:keepLines w:val="0"/>
              <w:pageBreakBefore w:val="0"/>
              <w:widowControl w:val="0"/>
              <w:kinsoku/>
              <w:wordWrap/>
              <w:overflowPunct/>
              <w:topLinePunct w:val="0"/>
              <w:bidi w:val="0"/>
              <w:snapToGrid w:val="0"/>
              <w:spacing w:line="340" w:lineRule="exact"/>
              <w:jc w:val="center"/>
              <w:textAlignment w:val="auto"/>
              <w:rPr>
                <w:rFonts w:hint="eastAsia"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rPr>
              <w:t>分</w:t>
            </w:r>
          </w:p>
        </w:tc>
        <w:tc>
          <w:tcPr>
            <w:tcW w:w="7255" w:type="dxa"/>
            <w:tcBorders>
              <w:top w:val="single" w:color="auto" w:sz="4" w:space="0"/>
              <w:left w:val="single" w:color="auto" w:sz="4" w:space="0"/>
              <w:right w:val="single" w:color="auto" w:sz="4" w:space="0"/>
            </w:tcBorders>
            <w:shd w:val="clear" w:color="auto" w:fill="auto"/>
            <w:noWrap w:val="0"/>
            <w:vAlign w:val="center"/>
          </w:tcPr>
          <w:p w14:paraId="05F75355">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综合考虑供应商提供的</w:t>
            </w:r>
            <w:r>
              <w:rPr>
                <w:rFonts w:hint="default" w:ascii="Times New Roman" w:hAnsi="Times New Roman" w:eastAsia="宋体" w:cs="Times New Roman"/>
                <w:b/>
                <w:bCs/>
                <w:color w:val="auto"/>
                <w:sz w:val="21"/>
                <w:szCs w:val="21"/>
                <w:highlight w:val="none"/>
                <w:lang w:val="zh-TW"/>
              </w:rPr>
              <w:t>质量保证方案</w:t>
            </w:r>
            <w:r>
              <w:rPr>
                <w:rFonts w:hint="eastAsia" w:ascii="Times New Roman" w:hAnsi="Times New Roman" w:cs="Times New Roman"/>
                <w:b/>
                <w:bCs/>
                <w:color w:val="auto"/>
                <w:sz w:val="21"/>
                <w:szCs w:val="21"/>
                <w:highlight w:val="none"/>
                <w:lang w:val="zh-TW" w:eastAsia="zh-CN"/>
              </w:rPr>
              <w:t>（</w:t>
            </w:r>
            <w:r>
              <w:rPr>
                <w:rFonts w:hint="eastAsia" w:ascii="Times New Roman" w:hAnsi="Times New Roman" w:cs="Times New Roman"/>
                <w:b/>
                <w:bCs/>
                <w:color w:val="auto"/>
                <w:sz w:val="21"/>
                <w:szCs w:val="21"/>
                <w:highlight w:val="none"/>
                <w:lang w:val="en-US" w:eastAsia="zh-CN"/>
              </w:rPr>
              <w:t>包括但不限于质量监管方案、应急响应措施等</w:t>
            </w:r>
            <w:r>
              <w:rPr>
                <w:rFonts w:hint="eastAsia" w:ascii="Times New Roman" w:hAnsi="Times New Roman" w:cs="Times New Roman"/>
                <w:b/>
                <w:bCs/>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rPr>
              <w:t>。</w:t>
            </w:r>
          </w:p>
          <w:p w14:paraId="2E990CD4">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方案完整度高、保障措施</w:t>
            </w:r>
            <w:r>
              <w:rPr>
                <w:rFonts w:hint="eastAsia" w:ascii="Times New Roman" w:hAnsi="Times New Roman" w:cs="Times New Roman"/>
                <w:color w:val="auto"/>
                <w:sz w:val="21"/>
                <w:szCs w:val="21"/>
                <w:highlight w:val="none"/>
                <w:lang w:val="en-US" w:eastAsia="zh-CN"/>
              </w:rPr>
              <w:t>丰富</w:t>
            </w:r>
            <w:r>
              <w:rPr>
                <w:rFonts w:hint="default" w:ascii="Times New Roman" w:hAnsi="Times New Roman" w:eastAsia="宋体" w:cs="Times New Roman"/>
                <w:color w:val="auto"/>
                <w:sz w:val="21"/>
                <w:szCs w:val="21"/>
                <w:highlight w:val="none"/>
                <w:lang w:val="zh-TW"/>
              </w:rPr>
              <w:t>、具有</w:t>
            </w:r>
            <w:r>
              <w:rPr>
                <w:rFonts w:hint="eastAsia" w:ascii="Times New Roman" w:hAnsi="Times New Roman" w:cs="Times New Roman"/>
                <w:color w:val="auto"/>
                <w:sz w:val="21"/>
                <w:szCs w:val="21"/>
                <w:highlight w:val="none"/>
                <w:lang w:val="en-US" w:eastAsia="zh-CN"/>
              </w:rPr>
              <w:t>成熟</w:t>
            </w:r>
            <w:r>
              <w:rPr>
                <w:rFonts w:hint="default" w:ascii="Times New Roman" w:hAnsi="Times New Roman" w:eastAsia="宋体" w:cs="Times New Roman"/>
                <w:color w:val="auto"/>
                <w:sz w:val="21"/>
                <w:szCs w:val="21"/>
                <w:highlight w:val="none"/>
                <w:lang w:val="zh-TW"/>
              </w:rPr>
              <w:t>的节目内容与画面质量监管体系、应急状况下响应时效性强，完全满足</w:t>
            </w:r>
            <w:r>
              <w:rPr>
                <w:rFonts w:hint="default" w:ascii="Times New Roman" w:hAnsi="Times New Roman" w:eastAsia="宋体" w:cs="Times New Roman"/>
                <w:color w:val="auto"/>
                <w:sz w:val="21"/>
                <w:szCs w:val="21"/>
                <w:highlight w:val="none"/>
              </w:rPr>
              <w:t>或优于</w:t>
            </w:r>
            <w:r>
              <w:rPr>
                <w:rFonts w:hint="default" w:ascii="Times New Roman" w:hAnsi="Times New Roman" w:eastAsia="宋体" w:cs="Times New Roman"/>
                <w:color w:val="auto"/>
                <w:sz w:val="21"/>
                <w:szCs w:val="21"/>
                <w:highlight w:val="none"/>
                <w:lang w:val="zh-TW"/>
              </w:rPr>
              <w:t>采购需求：</w:t>
            </w:r>
            <w:r>
              <w:rPr>
                <w:rFonts w:hint="eastAsia" w:ascii="Times New Roman" w:hAnsi="Times New Roman"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zh-TW"/>
              </w:rPr>
              <w:t>分；</w:t>
            </w:r>
          </w:p>
          <w:p w14:paraId="3D5C1261">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高、保障措施</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多、有</w:t>
            </w:r>
            <w:r>
              <w:rPr>
                <w:rFonts w:hint="eastAsia" w:ascii="Times New Roman" w:hAnsi="Times New Roman" w:cs="Times New Roman"/>
                <w:color w:val="auto"/>
                <w:sz w:val="21"/>
                <w:szCs w:val="21"/>
                <w:highlight w:val="none"/>
                <w:lang w:val="en-US" w:eastAsia="zh-CN"/>
              </w:rPr>
              <w:t>较好的</w:t>
            </w:r>
            <w:r>
              <w:rPr>
                <w:rFonts w:hint="default" w:ascii="Times New Roman" w:hAnsi="Times New Roman" w:eastAsia="宋体" w:cs="Times New Roman"/>
                <w:color w:val="auto"/>
                <w:sz w:val="21"/>
                <w:szCs w:val="21"/>
                <w:highlight w:val="none"/>
                <w:lang w:val="zh-TW"/>
              </w:rPr>
              <w:t>节目内容与画面质量监管体系、应急状况下响应时效性</w:t>
            </w:r>
            <w:r>
              <w:rPr>
                <w:rFonts w:hint="default" w:ascii="Times New Roman" w:hAnsi="Times New Roman" w:eastAsia="宋体" w:cs="Times New Roman"/>
                <w:color w:val="auto"/>
                <w:sz w:val="21"/>
                <w:szCs w:val="21"/>
                <w:highlight w:val="none"/>
              </w:rPr>
              <w:t>较</w:t>
            </w:r>
            <w:r>
              <w:rPr>
                <w:rFonts w:hint="default" w:ascii="Times New Roman" w:hAnsi="Times New Roman" w:eastAsia="宋体" w:cs="Times New Roman"/>
                <w:color w:val="auto"/>
                <w:sz w:val="21"/>
                <w:szCs w:val="21"/>
                <w:highlight w:val="none"/>
                <w:lang w:val="zh-TW"/>
              </w:rPr>
              <w:t>强，</w:t>
            </w:r>
            <w:r>
              <w:rPr>
                <w:rFonts w:hint="default" w:ascii="Times New Roman" w:hAnsi="Times New Roman" w:eastAsia="宋体" w:cs="Times New Roman"/>
                <w:color w:val="auto"/>
                <w:sz w:val="21"/>
                <w:szCs w:val="21"/>
                <w:highlight w:val="none"/>
              </w:rPr>
              <w:t>能够</w:t>
            </w:r>
            <w:r>
              <w:rPr>
                <w:rFonts w:hint="default" w:ascii="Times New Roman" w:hAnsi="Times New Roman" w:eastAsia="宋体" w:cs="Times New Roman"/>
                <w:color w:val="auto"/>
                <w:sz w:val="21"/>
                <w:szCs w:val="21"/>
                <w:highlight w:val="none"/>
                <w:lang w:val="zh-TW"/>
              </w:rPr>
              <w:t>满足采购需求：</w:t>
            </w: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zh-TW"/>
              </w:rPr>
              <w:t>分；</w:t>
            </w:r>
          </w:p>
          <w:p w14:paraId="07A9FAD2">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方案完整度一般、</w:t>
            </w:r>
            <w:r>
              <w:rPr>
                <w:rFonts w:hint="eastAsia" w:ascii="Times New Roman" w:hAnsi="Times New Roman" w:cs="Times New Roman"/>
                <w:color w:val="auto"/>
                <w:sz w:val="21"/>
                <w:szCs w:val="21"/>
                <w:highlight w:val="none"/>
                <w:lang w:val="en-US" w:eastAsia="zh-CN"/>
              </w:rPr>
              <w:t>有一定的</w:t>
            </w:r>
            <w:r>
              <w:rPr>
                <w:rFonts w:hint="default" w:ascii="Times New Roman" w:hAnsi="Times New Roman" w:eastAsia="宋体" w:cs="Times New Roman"/>
                <w:color w:val="auto"/>
                <w:sz w:val="21"/>
                <w:szCs w:val="21"/>
                <w:highlight w:val="none"/>
                <w:lang w:val="zh-TW"/>
              </w:rPr>
              <w:t>保障措施、</w:t>
            </w:r>
            <w:r>
              <w:rPr>
                <w:rFonts w:hint="eastAsia" w:ascii="Times New Roman" w:hAnsi="Times New Roman" w:cs="Times New Roman"/>
                <w:color w:val="auto"/>
                <w:sz w:val="21"/>
                <w:szCs w:val="21"/>
                <w:highlight w:val="none"/>
                <w:lang w:val="en-US" w:eastAsia="zh-CN"/>
              </w:rPr>
              <w:t>有</w:t>
            </w:r>
            <w:r>
              <w:rPr>
                <w:rFonts w:hint="default" w:ascii="Times New Roman" w:hAnsi="Times New Roman" w:eastAsia="宋体" w:cs="Times New Roman"/>
                <w:color w:val="auto"/>
                <w:sz w:val="21"/>
                <w:szCs w:val="21"/>
                <w:highlight w:val="none"/>
                <w:lang w:val="zh-TW"/>
              </w:rPr>
              <w:t>节目内容与画面质量监管体系、应急状况下响应时效性一般，基本满足采购需求：</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zh-TW"/>
              </w:rPr>
              <w:t>分；</w:t>
            </w:r>
          </w:p>
          <w:p w14:paraId="315FB2C9">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lang w:val="zh-TW"/>
              </w:rPr>
            </w:pPr>
            <w:r>
              <w:rPr>
                <w:rFonts w:hint="default" w:ascii="Times New Roman" w:hAnsi="Times New Roman" w:eastAsia="宋体" w:cs="Times New Roman"/>
                <w:color w:val="auto"/>
                <w:sz w:val="21"/>
                <w:szCs w:val="21"/>
                <w:highlight w:val="none"/>
                <w:lang w:val="zh-TW"/>
              </w:rPr>
              <w:t>方案</w:t>
            </w:r>
            <w:r>
              <w:rPr>
                <w:rFonts w:hint="eastAsia" w:ascii="Times New Roman" w:hAnsi="Times New Roman" w:cs="Times New Roman"/>
                <w:color w:val="auto"/>
                <w:sz w:val="21"/>
                <w:szCs w:val="21"/>
                <w:highlight w:val="none"/>
                <w:lang w:val="en-US" w:eastAsia="zh-CN"/>
              </w:rPr>
              <w:t>较简单</w:t>
            </w:r>
            <w:r>
              <w:rPr>
                <w:rFonts w:hint="eastAsia" w:ascii="Times New Roman" w:hAnsi="Times New Roman"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lang w:val="zh-TW"/>
              </w:rPr>
              <w:t>节目内容与画面质量监管体系</w:t>
            </w:r>
            <w:r>
              <w:rPr>
                <w:rFonts w:hint="eastAsia" w:ascii="Times New Roman" w:hAnsi="Times New Roman" w:cs="Times New Roman"/>
                <w:color w:val="auto"/>
                <w:sz w:val="21"/>
                <w:szCs w:val="21"/>
                <w:highlight w:val="none"/>
                <w:lang w:val="en-US" w:eastAsia="zh-CN"/>
              </w:rPr>
              <w:t>简略</w:t>
            </w:r>
            <w:r>
              <w:rPr>
                <w:rFonts w:hint="default" w:ascii="Times New Roman" w:hAnsi="Times New Roman" w:eastAsia="宋体" w:cs="Times New Roman"/>
                <w:color w:val="auto"/>
                <w:sz w:val="21"/>
                <w:szCs w:val="21"/>
                <w:highlight w:val="none"/>
                <w:lang w:val="zh-TW"/>
              </w:rPr>
              <w:t>、应急状况下响应时效性</w:t>
            </w:r>
            <w:r>
              <w:rPr>
                <w:rFonts w:hint="eastAsia" w:ascii="Times New Roman" w:hAnsi="Times New Roman" w:cs="Times New Roman"/>
                <w:color w:val="auto"/>
                <w:sz w:val="21"/>
                <w:szCs w:val="21"/>
                <w:highlight w:val="none"/>
                <w:lang w:val="en-US" w:eastAsia="zh-CN"/>
              </w:rPr>
              <w:t>有欠缺</w:t>
            </w:r>
            <w:r>
              <w:rPr>
                <w:rFonts w:hint="default" w:ascii="Times New Roman" w:hAnsi="Times New Roman" w:eastAsia="宋体" w:cs="Times New Roman"/>
                <w:color w:val="auto"/>
                <w:sz w:val="21"/>
                <w:szCs w:val="21"/>
                <w:highlight w:val="none"/>
                <w:lang w:val="zh-TW"/>
              </w:rPr>
              <w:t>，</w:t>
            </w:r>
            <w:r>
              <w:rPr>
                <w:rFonts w:hint="eastAsia" w:ascii="Times New Roman" w:hAnsi="Times New Roman" w:cs="Times New Roman"/>
                <w:color w:val="auto"/>
                <w:sz w:val="21"/>
                <w:szCs w:val="21"/>
                <w:highlight w:val="none"/>
                <w:lang w:val="en-US" w:eastAsia="zh-CN"/>
              </w:rPr>
              <w:t>勉强</w:t>
            </w:r>
            <w:r>
              <w:rPr>
                <w:rFonts w:hint="default" w:ascii="Times New Roman" w:hAnsi="Times New Roman" w:eastAsia="宋体" w:cs="Times New Roman"/>
                <w:color w:val="auto"/>
                <w:sz w:val="21"/>
                <w:szCs w:val="21"/>
                <w:highlight w:val="none"/>
                <w:lang w:val="zh-TW"/>
              </w:rPr>
              <w:t>满足采购需求：</w:t>
            </w:r>
            <w:r>
              <w:rPr>
                <w:rFonts w:hint="default" w:ascii="Times New Roman" w:hAnsi="Times New Roman" w:eastAsia="宋体" w:cs="Times New Roman"/>
                <w:color w:val="auto"/>
                <w:sz w:val="21"/>
                <w:szCs w:val="21"/>
                <w:highlight w:val="none"/>
              </w:rPr>
              <w:t>4</w:t>
            </w:r>
            <w:r>
              <w:rPr>
                <w:rFonts w:hint="default" w:ascii="Times New Roman" w:hAnsi="Times New Roman" w:eastAsia="宋体" w:cs="Times New Roman"/>
                <w:color w:val="auto"/>
                <w:sz w:val="21"/>
                <w:szCs w:val="21"/>
                <w:highlight w:val="none"/>
                <w:lang w:val="zh-TW"/>
              </w:rPr>
              <w:t>分；</w:t>
            </w:r>
          </w:p>
          <w:p w14:paraId="3F6AC598">
            <w:pPr>
              <w:keepNext w:val="0"/>
              <w:keepLines w:val="0"/>
              <w:pageBreakBefore w:val="0"/>
              <w:widowControl w:val="0"/>
              <w:kinsoku/>
              <w:wordWrap/>
              <w:overflowPunct/>
              <w:topLinePunct w:val="0"/>
              <w:bidi w:val="0"/>
              <w:snapToGrid w:val="0"/>
              <w:spacing w:line="340" w:lineRule="exact"/>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zh-TW"/>
              </w:rPr>
              <w:t>方案完整度较差、不具备节目内容与画面质量监管体系、应急状况下响应时效性较差，无法完全满足采购需求：</w:t>
            </w: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val="zh-TW"/>
              </w:rPr>
              <w:t>分；</w:t>
            </w:r>
            <w:r>
              <w:rPr>
                <w:rFonts w:hint="eastAsia" w:ascii="Times New Roman" w:hAnsi="Times New Roman" w:cs="Times New Roman"/>
                <w:color w:val="auto"/>
                <w:sz w:val="21"/>
                <w:szCs w:val="21"/>
                <w:highlight w:val="none"/>
                <w:lang w:val="en-US" w:eastAsia="zh-CN"/>
              </w:rPr>
              <w:t xml:space="preserve"> </w:t>
            </w:r>
          </w:p>
          <w:p w14:paraId="42CE4724">
            <w:pPr>
              <w:keepNext w:val="0"/>
              <w:keepLines w:val="0"/>
              <w:pageBreakBefore w:val="0"/>
              <w:widowControl w:val="0"/>
              <w:kinsoku/>
              <w:wordWrap/>
              <w:overflowPunct/>
              <w:topLinePunct w:val="0"/>
              <w:bidi w:val="0"/>
              <w:snapToGrid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TW" w:eastAsia="zh-TW"/>
              </w:rPr>
              <w:t>未提供任何材料：0分。</w:t>
            </w:r>
          </w:p>
        </w:tc>
      </w:tr>
      <w:tr w14:paraId="33F4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33EAC0CC">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46466805">
            <w:pPr>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tcBorders>
              <w:top w:val="single" w:color="auto" w:sz="4" w:space="0"/>
              <w:left w:val="single" w:color="auto" w:sz="4" w:space="0"/>
              <w:right w:val="single" w:color="auto" w:sz="4" w:space="0"/>
            </w:tcBorders>
            <w:noWrap w:val="0"/>
            <w:vAlign w:val="center"/>
          </w:tcPr>
          <w:p w14:paraId="40A7CE41">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时间进度安排</w:t>
            </w:r>
          </w:p>
        </w:tc>
        <w:tc>
          <w:tcPr>
            <w:tcW w:w="610" w:type="dxa"/>
            <w:tcBorders>
              <w:top w:val="single" w:color="auto" w:sz="4" w:space="0"/>
              <w:left w:val="single" w:color="auto" w:sz="4" w:space="0"/>
              <w:right w:val="single" w:color="auto" w:sz="4" w:space="0"/>
            </w:tcBorders>
            <w:noWrap w:val="0"/>
            <w:vAlign w:val="center"/>
          </w:tcPr>
          <w:p w14:paraId="72C7934F">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255" w:type="dxa"/>
            <w:tcBorders>
              <w:top w:val="single" w:color="auto" w:sz="4" w:space="0"/>
              <w:left w:val="single" w:color="auto" w:sz="4" w:space="0"/>
              <w:right w:val="single" w:color="auto" w:sz="4" w:space="0"/>
            </w:tcBorders>
            <w:noWrap w:val="0"/>
            <w:vAlign w:val="center"/>
          </w:tcPr>
          <w:p w14:paraId="3806BE9F">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综合考虑供应商提供的本项目时间进度安排对采购需求的响应程度。</w:t>
            </w:r>
          </w:p>
          <w:p w14:paraId="17E746AC">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时间安排科学合理、利用率高、响应时效性强，完全满足采购需求：5分；</w:t>
            </w:r>
          </w:p>
          <w:p w14:paraId="06F66CDA">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时间安排较合理、利用率较高、响应时效性较强，可以满足采购需求：4分；</w:t>
            </w:r>
          </w:p>
          <w:p w14:paraId="1213C364">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时间安排较松散、利用率一般、响应时效性一般，基本满足采购需求：3分；</w:t>
            </w:r>
          </w:p>
          <w:p w14:paraId="5917364D">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时间安排较松散、利用率较低、响应时效性较差，无法完全满足采购需求：2分；</w:t>
            </w:r>
          </w:p>
          <w:p w14:paraId="6DC3EF9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时间安排混乱无序、利用率低、响应时效性差，无法完全满足采购需求：1分；</w:t>
            </w:r>
          </w:p>
          <w:p w14:paraId="5AEEAA4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71DC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vMerge w:val="continue"/>
            <w:tcBorders>
              <w:left w:val="single" w:color="auto" w:sz="4" w:space="0"/>
              <w:right w:val="single" w:color="auto" w:sz="4" w:space="0"/>
            </w:tcBorders>
            <w:noWrap w:val="0"/>
            <w:vAlign w:val="center"/>
          </w:tcPr>
          <w:p w14:paraId="1EA1F057">
            <w:pPr>
              <w:keepNext w:val="0"/>
              <w:keepLines w:val="0"/>
              <w:pageBreakBefore w:val="0"/>
              <w:widowControl/>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08" w:type="pct"/>
            <w:vMerge w:val="continue"/>
            <w:tcBorders>
              <w:left w:val="single" w:color="auto" w:sz="4" w:space="0"/>
              <w:right w:val="single" w:color="auto" w:sz="4" w:space="0"/>
            </w:tcBorders>
            <w:noWrap w:val="0"/>
            <w:vAlign w:val="center"/>
          </w:tcPr>
          <w:p w14:paraId="23DB3735">
            <w:pPr>
              <w:keepNext w:val="0"/>
              <w:keepLines w:val="0"/>
              <w:pageBreakBefore w:val="0"/>
              <w:widowControl/>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p>
        </w:tc>
        <w:tc>
          <w:tcPr>
            <w:tcW w:w="1138" w:type="dxa"/>
            <w:tcBorders>
              <w:top w:val="single" w:color="auto" w:sz="4" w:space="0"/>
              <w:left w:val="single" w:color="auto" w:sz="4" w:space="0"/>
              <w:right w:val="single" w:color="auto" w:sz="4" w:space="0"/>
            </w:tcBorders>
            <w:noWrap w:val="0"/>
            <w:vAlign w:val="center"/>
          </w:tcPr>
          <w:p w14:paraId="5F126AEE">
            <w:pPr>
              <w:keepNext w:val="0"/>
              <w:keepLines w:val="0"/>
              <w:pageBreakBefore w:val="0"/>
              <w:kinsoku/>
              <w:wordWrap/>
              <w:overflowPunct/>
              <w:topLinePunct w:val="0"/>
              <w:bidi w:val="0"/>
              <w:spacing w:line="340" w:lineRule="exact"/>
              <w:ind w:left="-1"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实施团队人员安排</w:t>
            </w:r>
          </w:p>
        </w:tc>
        <w:tc>
          <w:tcPr>
            <w:tcW w:w="610" w:type="dxa"/>
            <w:tcBorders>
              <w:top w:val="single" w:color="auto" w:sz="4" w:space="0"/>
              <w:left w:val="single" w:color="auto" w:sz="4" w:space="0"/>
              <w:right w:val="single" w:color="auto" w:sz="4" w:space="0"/>
            </w:tcBorders>
            <w:shd w:val="clear" w:color="auto" w:fill="auto"/>
            <w:noWrap w:val="0"/>
            <w:vAlign w:val="center"/>
          </w:tcPr>
          <w:p w14:paraId="47C12A8D">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分</w:t>
            </w:r>
          </w:p>
        </w:tc>
        <w:tc>
          <w:tcPr>
            <w:tcW w:w="7255" w:type="dxa"/>
            <w:tcBorders>
              <w:top w:val="single" w:color="auto" w:sz="4" w:space="0"/>
              <w:left w:val="single" w:color="auto" w:sz="4" w:space="0"/>
              <w:right w:val="single" w:color="auto" w:sz="4" w:space="0"/>
            </w:tcBorders>
            <w:shd w:val="clear" w:color="auto" w:fill="auto"/>
            <w:noWrap w:val="0"/>
            <w:vAlign w:val="center"/>
          </w:tcPr>
          <w:p w14:paraId="77E2E675">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针对本项目组建的</w:t>
            </w:r>
            <w:r>
              <w:rPr>
                <w:rFonts w:hint="default" w:ascii="Times New Roman" w:hAnsi="Times New Roman" w:eastAsia="宋体" w:cs="Times New Roman"/>
                <w:b/>
                <w:color w:val="auto"/>
                <w:kern w:val="0"/>
                <w:sz w:val="21"/>
                <w:szCs w:val="21"/>
                <w:highlight w:val="none"/>
              </w:rPr>
              <w:t>团队</w:t>
            </w:r>
            <w:r>
              <w:rPr>
                <w:rFonts w:hint="default" w:ascii="Times New Roman" w:hAnsi="Times New Roman" w:eastAsia="宋体" w:cs="Times New Roman"/>
                <w:color w:val="auto"/>
                <w:kern w:val="0"/>
                <w:sz w:val="21"/>
                <w:szCs w:val="21"/>
                <w:highlight w:val="none"/>
              </w:rPr>
              <w:t>情况（需附人员组成名单、资历证明等材料）。</w:t>
            </w:r>
          </w:p>
          <w:p w14:paraId="249809A9">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团队组成人员安排合理、专业性强、经验丰富，各岗位人员数量完全满足或高于需求，包含总策划、文字统筹、视频剪辑包装、主持或配音、采访及视频拍摄人员：1</w:t>
            </w:r>
            <w:r>
              <w:rPr>
                <w:rFonts w:hint="eastAsia" w:ascii="Times New Roman" w:hAnsi="Times New Roman" w:cs="Times New Roman"/>
                <w:bCs/>
                <w:iCs/>
                <w:color w:val="auto"/>
                <w:sz w:val="21"/>
                <w:szCs w:val="21"/>
                <w:highlight w:val="none"/>
                <w:lang w:val="en-US" w:eastAsia="zh-CN"/>
              </w:rPr>
              <w:t>2</w:t>
            </w:r>
            <w:r>
              <w:rPr>
                <w:rFonts w:hint="default" w:ascii="Times New Roman" w:hAnsi="Times New Roman" w:eastAsia="宋体" w:cs="Times New Roman"/>
                <w:bCs/>
                <w:iCs/>
                <w:color w:val="auto"/>
                <w:sz w:val="21"/>
                <w:szCs w:val="21"/>
                <w:highlight w:val="none"/>
              </w:rPr>
              <w:t>分；</w:t>
            </w:r>
          </w:p>
          <w:p w14:paraId="510BD66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团队组成人员安排较好、专业性较强、具有一定经验，各岗位人员数量满足需求，能够包含总策划、文字统筹、视频剪辑包装、主持或配音、采访及视频拍摄人员：</w:t>
            </w:r>
            <w:r>
              <w:rPr>
                <w:rFonts w:hint="eastAsia" w:ascii="Times New Roman" w:hAnsi="Times New Roman" w:cs="Times New Roman"/>
                <w:bCs/>
                <w:iCs/>
                <w:color w:val="auto"/>
                <w:sz w:val="21"/>
                <w:szCs w:val="21"/>
                <w:highlight w:val="none"/>
                <w:lang w:val="en-US" w:eastAsia="zh-CN"/>
              </w:rPr>
              <w:t>10</w:t>
            </w:r>
            <w:r>
              <w:rPr>
                <w:rFonts w:hint="default" w:ascii="Times New Roman" w:hAnsi="Times New Roman" w:eastAsia="宋体" w:cs="Times New Roman"/>
                <w:bCs/>
                <w:iCs/>
                <w:color w:val="auto"/>
                <w:sz w:val="21"/>
                <w:szCs w:val="21"/>
                <w:highlight w:val="none"/>
              </w:rPr>
              <w:t>分；</w:t>
            </w:r>
          </w:p>
          <w:p w14:paraId="4D050589">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团队组成人员一般、专业性一般、经验一般，各岗位人员数量基本满足需求，团队中包含总策划、文字统筹、视频剪辑包装、主持或配音、采访及视频拍摄人员：</w:t>
            </w:r>
            <w:r>
              <w:rPr>
                <w:rFonts w:hint="eastAsia" w:ascii="Times New Roman" w:hAnsi="Times New Roman" w:cs="Times New Roman"/>
                <w:bCs/>
                <w:iCs/>
                <w:color w:val="auto"/>
                <w:sz w:val="21"/>
                <w:szCs w:val="21"/>
                <w:highlight w:val="none"/>
                <w:lang w:val="en-US" w:eastAsia="zh-CN"/>
              </w:rPr>
              <w:t>7</w:t>
            </w:r>
            <w:r>
              <w:rPr>
                <w:rFonts w:hint="default" w:ascii="Times New Roman" w:hAnsi="Times New Roman" w:eastAsia="宋体" w:cs="Times New Roman"/>
                <w:bCs/>
                <w:iCs/>
                <w:color w:val="auto"/>
                <w:sz w:val="21"/>
                <w:szCs w:val="21"/>
                <w:highlight w:val="none"/>
              </w:rPr>
              <w:t>分；</w:t>
            </w:r>
          </w:p>
          <w:p w14:paraId="3034208B">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团队组成人员较差、专业性较差、项目经验较少或分工不明确：4分；</w:t>
            </w:r>
          </w:p>
          <w:p w14:paraId="07010D88">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团队组成人员差、专业性差、分工不明确或无相关项目经验：</w:t>
            </w:r>
            <w:r>
              <w:rPr>
                <w:rFonts w:hint="eastAsia" w:ascii="Times New Roman" w:hAnsi="Times New Roman" w:cs="Times New Roman"/>
                <w:bCs/>
                <w:iCs/>
                <w:color w:val="auto"/>
                <w:sz w:val="21"/>
                <w:szCs w:val="21"/>
                <w:highlight w:val="none"/>
                <w:lang w:val="en-US" w:eastAsia="zh-CN"/>
              </w:rPr>
              <w:t>1</w:t>
            </w:r>
            <w:r>
              <w:rPr>
                <w:rFonts w:hint="default" w:ascii="Times New Roman" w:hAnsi="Times New Roman" w:eastAsia="宋体" w:cs="Times New Roman"/>
                <w:bCs/>
                <w:iCs/>
                <w:color w:val="auto"/>
                <w:sz w:val="21"/>
                <w:szCs w:val="21"/>
                <w:highlight w:val="none"/>
              </w:rPr>
              <w:t>分；</w:t>
            </w:r>
          </w:p>
          <w:p w14:paraId="06617F84">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未提供任何材料：0分。</w:t>
            </w:r>
          </w:p>
        </w:tc>
      </w:tr>
      <w:tr w14:paraId="0F5D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2" w:type="pct"/>
            <w:tcBorders>
              <w:top w:val="single" w:color="auto" w:sz="4" w:space="0"/>
              <w:left w:val="single" w:color="auto" w:sz="4" w:space="0"/>
              <w:bottom w:val="single" w:color="auto" w:sz="4" w:space="0"/>
              <w:right w:val="single" w:color="auto" w:sz="4" w:space="0"/>
            </w:tcBorders>
            <w:noWrap w:val="0"/>
            <w:vAlign w:val="center"/>
          </w:tcPr>
          <w:p w14:paraId="3488159E">
            <w:pPr>
              <w:keepNext w:val="0"/>
              <w:keepLines w:val="0"/>
              <w:pageBreakBefore w:val="0"/>
              <w:kinsoku/>
              <w:wordWrap/>
              <w:overflowPunct/>
              <w:topLinePunct w:val="0"/>
              <w:bidi w:val="0"/>
              <w:spacing w:line="34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08" w:type="pct"/>
            <w:tcBorders>
              <w:top w:val="single" w:color="auto" w:sz="4" w:space="0"/>
              <w:left w:val="single" w:color="auto" w:sz="4" w:space="0"/>
              <w:bottom w:val="single" w:color="auto" w:sz="4" w:space="0"/>
              <w:right w:val="single" w:color="auto" w:sz="4" w:space="0"/>
            </w:tcBorders>
            <w:noWrap w:val="0"/>
            <w:vAlign w:val="center"/>
          </w:tcPr>
          <w:p w14:paraId="785258E6">
            <w:pPr>
              <w:keepNext w:val="0"/>
              <w:keepLines w:val="0"/>
              <w:pageBreakBefore w:val="0"/>
              <w:kinsoku/>
              <w:wordWrap/>
              <w:overflowPunct/>
              <w:topLinePunct w:val="0"/>
              <w:bidi w:val="0"/>
              <w:spacing w:line="34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报价（10分）</w:t>
            </w:r>
          </w:p>
        </w:tc>
        <w:tc>
          <w:tcPr>
            <w:tcW w:w="4278" w:type="pct"/>
            <w:gridSpan w:val="3"/>
            <w:tcBorders>
              <w:top w:val="single" w:color="auto" w:sz="4" w:space="0"/>
              <w:left w:val="single" w:color="auto" w:sz="4" w:space="0"/>
              <w:bottom w:val="single" w:color="auto" w:sz="4" w:space="0"/>
              <w:right w:val="single" w:color="auto" w:sz="4" w:space="0"/>
            </w:tcBorders>
            <w:noWrap w:val="0"/>
            <w:vAlign w:val="center"/>
          </w:tcPr>
          <w:p w14:paraId="010BB17A">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满足招标文件要求且投标价格最低的投标报价为评标基准价，其价格分为满分。其他投标人的价格分统一按照下列公式计算：</w:t>
            </w:r>
          </w:p>
          <w:p w14:paraId="4BFB47BE">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投标报价得分＝（评标基准价/投标报价）×10。</w:t>
            </w:r>
          </w:p>
          <w:p w14:paraId="1D1E085F">
            <w:pPr>
              <w:keepNext w:val="0"/>
              <w:keepLines w:val="0"/>
              <w:pageBreakBefore w:val="0"/>
              <w:kinsoku/>
              <w:wordWrap/>
              <w:overflowPunct/>
              <w:topLinePunct w:val="0"/>
              <w:bidi w:val="0"/>
              <w:spacing w:line="34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注：此处投标报价指经过报价修正，及因落实政府采购政策进行价格调整后的报价，详见第四章《评标方法和评标标准》2.4及2.5。</w:t>
            </w:r>
          </w:p>
        </w:tc>
      </w:tr>
      <w:tr w14:paraId="696C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5"/>
            <w:tcBorders>
              <w:left w:val="single" w:color="auto" w:sz="4" w:space="0"/>
              <w:right w:val="single" w:color="auto" w:sz="4" w:space="0"/>
            </w:tcBorders>
            <w:noWrap w:val="0"/>
            <w:vAlign w:val="center"/>
          </w:tcPr>
          <w:p w14:paraId="45B1EBFB">
            <w:pPr>
              <w:keepNext w:val="0"/>
              <w:keepLines w:val="0"/>
              <w:pageBreakBefore w:val="0"/>
              <w:widowControl/>
              <w:kinsoku/>
              <w:wordWrap/>
              <w:overflowPunct/>
              <w:topLinePunct w:val="0"/>
              <w:bidi w:val="0"/>
              <w:spacing w:line="340" w:lineRule="exact"/>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252A1E97">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Times New Roman" w:hAnsi="Times New Roman" w:eastAsia="宋体" w:cs="Times New Roman"/>
          <w:b/>
          <w:bCs/>
          <w:color w:val="auto"/>
          <w:sz w:val="24"/>
          <w:szCs w:val="24"/>
          <w:highlight w:val="none"/>
        </w:rPr>
      </w:pPr>
    </w:p>
    <w:p w14:paraId="06506B21">
      <w:pP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p>
    <w:p w14:paraId="3C813BA4">
      <w:pPr>
        <w:jc w:val="center"/>
        <w:rPr>
          <w:rFonts w:hint="eastAsia"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第</w:t>
      </w:r>
      <w:r>
        <w:rPr>
          <w:rFonts w:hint="eastAsia" w:ascii="Times New Roman" w:hAnsi="Times New Roman" w:eastAsia="宋体" w:cs="Times New Roman"/>
          <w:b/>
          <w:bCs/>
          <w:color w:val="auto"/>
          <w:sz w:val="21"/>
          <w:szCs w:val="21"/>
          <w:highlight w:val="none"/>
          <w:lang w:val="en-US" w:eastAsia="zh-CN"/>
        </w:rPr>
        <w:t>2</w:t>
      </w:r>
      <w:r>
        <w:rPr>
          <w:rFonts w:hint="default" w:ascii="Times New Roman" w:hAnsi="Times New Roman" w:eastAsia="宋体" w:cs="Times New Roman"/>
          <w:b/>
          <w:bCs/>
          <w:color w:val="auto"/>
          <w:sz w:val="21"/>
          <w:szCs w:val="21"/>
          <w:highlight w:val="none"/>
        </w:rPr>
        <w:t>包：</w:t>
      </w:r>
      <w:r>
        <w:rPr>
          <w:rFonts w:hint="eastAsia" w:ascii="Times New Roman" w:hAnsi="Times New Roman" w:eastAsia="宋体" w:cs="Times New Roman"/>
          <w:b/>
          <w:bCs/>
          <w:color w:val="auto"/>
          <w:sz w:val="21"/>
          <w:szCs w:val="21"/>
          <w:highlight w:val="none"/>
          <w:lang w:eastAsia="zh-CN"/>
        </w:rPr>
        <w:t>新闻媒体</w:t>
      </w:r>
      <w:r>
        <w:rPr>
          <w:rFonts w:hint="default" w:ascii="Times New Roman" w:hAnsi="Times New Roman" w:eastAsia="宋体" w:cs="Times New Roman"/>
          <w:b/>
          <w:bCs/>
          <w:color w:val="auto"/>
          <w:sz w:val="21"/>
          <w:szCs w:val="21"/>
          <w:highlight w:val="none"/>
        </w:rPr>
        <w:t>宣传服务</w:t>
      </w:r>
    </w:p>
    <w:tbl>
      <w:tblPr>
        <w:tblStyle w:val="7"/>
        <w:tblW w:w="56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076"/>
        <w:gridCol w:w="1140"/>
        <w:gridCol w:w="603"/>
        <w:gridCol w:w="7010"/>
      </w:tblGrid>
      <w:tr w14:paraId="16D4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tcBorders>
              <w:top w:val="single" w:color="auto" w:sz="4" w:space="0"/>
              <w:left w:val="single" w:color="auto" w:sz="4" w:space="0"/>
              <w:right w:val="single" w:color="auto" w:sz="4" w:space="0"/>
            </w:tcBorders>
            <w:noWrap w:val="0"/>
            <w:vAlign w:val="center"/>
          </w:tcPr>
          <w:p w14:paraId="09DAE6CA">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100" w:type="dxa"/>
            <w:tcBorders>
              <w:top w:val="single" w:color="auto" w:sz="4" w:space="0"/>
              <w:left w:val="single" w:color="auto" w:sz="4" w:space="0"/>
              <w:right w:val="single" w:color="auto" w:sz="4" w:space="0"/>
            </w:tcBorders>
            <w:noWrap w:val="0"/>
            <w:vAlign w:val="center"/>
          </w:tcPr>
          <w:p w14:paraId="2E9BCEAF">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8951" w:type="dxa"/>
            <w:gridSpan w:val="3"/>
            <w:tcBorders>
              <w:top w:val="single" w:color="auto" w:sz="4" w:space="0"/>
              <w:left w:val="single" w:color="auto" w:sz="4" w:space="0"/>
              <w:right w:val="single" w:color="auto" w:sz="4" w:space="0"/>
            </w:tcBorders>
            <w:noWrap w:val="0"/>
            <w:vAlign w:val="center"/>
          </w:tcPr>
          <w:p w14:paraId="0A4E5C6A">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3967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tcBorders>
              <w:top w:val="single" w:color="auto" w:sz="4" w:space="0"/>
              <w:left w:val="single" w:color="auto" w:sz="4" w:space="0"/>
              <w:right w:val="single" w:color="auto" w:sz="4" w:space="0"/>
            </w:tcBorders>
            <w:noWrap w:val="0"/>
            <w:vAlign w:val="center"/>
          </w:tcPr>
          <w:p w14:paraId="15E689E1">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00" w:type="dxa"/>
            <w:tcBorders>
              <w:top w:val="single" w:color="auto" w:sz="4" w:space="0"/>
              <w:left w:val="single" w:color="auto" w:sz="4" w:space="0"/>
              <w:right w:val="single" w:color="auto" w:sz="4" w:space="0"/>
            </w:tcBorders>
            <w:noWrap w:val="0"/>
            <w:vAlign w:val="center"/>
          </w:tcPr>
          <w:p w14:paraId="2605FB89">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0A89189F">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1166" w:type="dxa"/>
            <w:tcBorders>
              <w:top w:val="single" w:color="auto" w:sz="4" w:space="0"/>
              <w:left w:val="single" w:color="auto" w:sz="4" w:space="0"/>
              <w:right w:val="single" w:color="auto" w:sz="4" w:space="0"/>
            </w:tcBorders>
            <w:noWrap w:val="0"/>
            <w:vAlign w:val="center"/>
          </w:tcPr>
          <w:p w14:paraId="0A66D94D">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617" w:type="dxa"/>
            <w:tcBorders>
              <w:top w:val="single" w:color="auto" w:sz="4" w:space="0"/>
              <w:left w:val="single" w:color="auto" w:sz="4" w:space="0"/>
              <w:right w:val="single" w:color="auto" w:sz="4" w:space="0"/>
            </w:tcBorders>
            <w:noWrap w:val="0"/>
            <w:vAlign w:val="center"/>
          </w:tcPr>
          <w:p w14:paraId="588AE8C9">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7168" w:type="dxa"/>
            <w:tcBorders>
              <w:top w:val="single" w:color="auto" w:sz="4" w:space="0"/>
              <w:left w:val="single" w:color="auto" w:sz="4" w:space="0"/>
              <w:right w:val="single" w:color="auto" w:sz="4" w:space="0"/>
            </w:tcBorders>
            <w:noWrap w:val="0"/>
            <w:vAlign w:val="center"/>
          </w:tcPr>
          <w:p w14:paraId="56F07839">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综合考虑供应商自202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年1月1日起至今已刊发与本项目类似的内容，每提供一个得3分，本项最高得12分。</w:t>
            </w:r>
          </w:p>
          <w:p w14:paraId="606EE7C4">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sz w:val="21"/>
                <w:szCs w:val="21"/>
                <w:highlight w:val="none"/>
              </w:rPr>
              <w:t>（供应商需提供刊发内容相关证明材料。）</w:t>
            </w:r>
          </w:p>
        </w:tc>
      </w:tr>
      <w:tr w14:paraId="5D0F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restart"/>
            <w:tcBorders>
              <w:left w:val="single" w:color="auto" w:sz="4" w:space="0"/>
              <w:right w:val="single" w:color="auto" w:sz="4" w:space="0"/>
            </w:tcBorders>
            <w:noWrap w:val="0"/>
            <w:vAlign w:val="center"/>
          </w:tcPr>
          <w:p w14:paraId="640CBB4E">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00" w:type="dxa"/>
            <w:vMerge w:val="restart"/>
            <w:tcBorders>
              <w:left w:val="single" w:color="auto" w:sz="4" w:space="0"/>
              <w:right w:val="single" w:color="auto" w:sz="4" w:space="0"/>
            </w:tcBorders>
            <w:noWrap w:val="0"/>
            <w:vAlign w:val="center"/>
          </w:tcPr>
          <w:p w14:paraId="4B7FA6C5">
            <w:pPr>
              <w:keepNext w:val="0"/>
              <w:keepLines w:val="0"/>
              <w:pageBreakBefore w:val="0"/>
              <w:widowControl/>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w:t>
            </w:r>
          </w:p>
          <w:p w14:paraId="69C24392">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（78分）</w:t>
            </w:r>
          </w:p>
        </w:tc>
        <w:tc>
          <w:tcPr>
            <w:tcW w:w="1166" w:type="dxa"/>
            <w:tcBorders>
              <w:top w:val="single" w:color="auto" w:sz="4" w:space="0"/>
              <w:left w:val="single" w:color="auto" w:sz="4" w:space="0"/>
              <w:right w:val="single" w:color="auto" w:sz="4" w:space="0"/>
            </w:tcBorders>
            <w:noWrap w:val="0"/>
            <w:vAlign w:val="center"/>
          </w:tcPr>
          <w:p w14:paraId="4499F51D">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617" w:type="dxa"/>
            <w:tcBorders>
              <w:top w:val="single" w:color="auto" w:sz="4" w:space="0"/>
              <w:left w:val="single" w:color="auto" w:sz="4" w:space="0"/>
              <w:right w:val="single" w:color="auto" w:sz="4" w:space="0"/>
            </w:tcBorders>
            <w:noWrap w:val="0"/>
            <w:vAlign w:val="center"/>
          </w:tcPr>
          <w:p w14:paraId="7CAE3ECC">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168" w:type="dxa"/>
            <w:tcBorders>
              <w:top w:val="single" w:color="auto" w:sz="4" w:space="0"/>
              <w:left w:val="single" w:color="auto" w:sz="4" w:space="0"/>
              <w:right w:val="single" w:color="auto" w:sz="4" w:space="0"/>
            </w:tcBorders>
            <w:noWrap w:val="0"/>
            <w:vAlign w:val="center"/>
          </w:tcPr>
          <w:p w14:paraId="5E79D94F">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针对采购需求所提供的</w:t>
            </w:r>
            <w:r>
              <w:rPr>
                <w:rFonts w:hint="default" w:ascii="Times New Roman" w:hAnsi="Times New Roman" w:eastAsia="宋体" w:cs="Times New Roman"/>
                <w:b/>
                <w:color w:val="auto"/>
                <w:kern w:val="0"/>
                <w:sz w:val="21"/>
                <w:szCs w:val="21"/>
                <w:highlight w:val="none"/>
              </w:rPr>
              <w:t>项目分析</w:t>
            </w:r>
            <w:r>
              <w:rPr>
                <w:rFonts w:hint="default" w:ascii="Times New Roman" w:hAnsi="Times New Roman" w:eastAsia="宋体" w:cs="Times New Roman"/>
                <w:color w:val="auto"/>
                <w:kern w:val="0"/>
                <w:sz w:val="21"/>
                <w:szCs w:val="21"/>
                <w:highlight w:val="none"/>
              </w:rPr>
              <w:t>，项目分析包括但不限于</w:t>
            </w:r>
            <w:r>
              <w:rPr>
                <w:rFonts w:hint="default" w:ascii="Times New Roman" w:hAnsi="Times New Roman" w:eastAsia="宋体" w:cs="Times New Roman"/>
                <w:b/>
                <w:color w:val="auto"/>
                <w:kern w:val="0"/>
                <w:sz w:val="21"/>
                <w:szCs w:val="21"/>
                <w:highlight w:val="none"/>
              </w:rPr>
              <w:t>项目背景</w:t>
            </w:r>
            <w:r>
              <w:rPr>
                <w:rFonts w:hint="default" w:ascii="Times New Roman" w:hAnsi="Times New Roman" w:eastAsia="宋体" w:cs="Times New Roman"/>
                <w:color w:val="auto"/>
                <w:kern w:val="0"/>
                <w:sz w:val="21"/>
                <w:szCs w:val="21"/>
                <w:highlight w:val="none"/>
              </w:rPr>
              <w:t>及</w:t>
            </w:r>
            <w:r>
              <w:rPr>
                <w:rFonts w:hint="default" w:ascii="Times New Roman" w:hAnsi="Times New Roman" w:eastAsia="宋体" w:cs="Times New Roman"/>
                <w:b/>
                <w:color w:val="auto"/>
                <w:kern w:val="0"/>
                <w:sz w:val="21"/>
                <w:szCs w:val="21"/>
                <w:highlight w:val="none"/>
              </w:rPr>
              <w:t>相关主题、项目重难点</w:t>
            </w:r>
            <w:r>
              <w:rPr>
                <w:rFonts w:hint="default" w:ascii="Times New Roman" w:hAnsi="Times New Roman" w:eastAsia="宋体" w:cs="Times New Roman"/>
                <w:color w:val="auto"/>
                <w:kern w:val="0"/>
                <w:sz w:val="21"/>
                <w:szCs w:val="21"/>
                <w:highlight w:val="none"/>
              </w:rPr>
              <w:t>等。</w:t>
            </w:r>
          </w:p>
          <w:p w14:paraId="357EFA8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项目分析具有针对性、熟悉项目主题、对项目主旨理解深入、重难点分析全面到位，对民政工作有深入了解：10分；</w:t>
            </w:r>
          </w:p>
          <w:p w14:paraId="22565DE1">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项目分析针对性较强、对项目主题了解较深入、重难点分析较全面，对民政工作有一定的了解：8分；</w:t>
            </w:r>
          </w:p>
          <w:p w14:paraId="34C2085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项目分析针对性一般、对项目主题了解一般、重难点分析一般，对民政工作有一般性了解：6分；</w:t>
            </w:r>
          </w:p>
          <w:p w14:paraId="6E0860F2">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项目分析针对性较差、对项目主题了解较少、重难点分析较差，对民政工作的了解及认识有欠缺：4分；</w:t>
            </w:r>
          </w:p>
          <w:p w14:paraId="1FCD523B">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项目分析针对性差、未理解项目主题、无重难点分析：2分；</w:t>
            </w:r>
          </w:p>
          <w:p w14:paraId="00760C5D">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1963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6EDC3713">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04C969C8">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top w:val="single" w:color="auto" w:sz="4" w:space="0"/>
              <w:left w:val="single" w:color="auto" w:sz="4" w:space="0"/>
              <w:right w:val="single" w:color="auto" w:sz="4" w:space="0"/>
            </w:tcBorders>
            <w:noWrap w:val="0"/>
            <w:vAlign w:val="center"/>
          </w:tcPr>
          <w:p w14:paraId="4E3AFE88">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版面宣传方案</w:t>
            </w:r>
          </w:p>
        </w:tc>
        <w:tc>
          <w:tcPr>
            <w:tcW w:w="617" w:type="dxa"/>
            <w:tcBorders>
              <w:top w:val="single" w:color="auto" w:sz="4" w:space="0"/>
              <w:left w:val="single" w:color="auto" w:sz="4" w:space="0"/>
              <w:right w:val="single" w:color="auto" w:sz="4" w:space="0"/>
            </w:tcBorders>
            <w:noWrap w:val="0"/>
            <w:vAlign w:val="center"/>
          </w:tcPr>
          <w:p w14:paraId="65A5A6E5">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168" w:type="dxa"/>
            <w:tcBorders>
              <w:top w:val="single" w:color="auto" w:sz="4" w:space="0"/>
              <w:left w:val="single" w:color="auto" w:sz="4" w:space="0"/>
              <w:right w:val="single" w:color="auto" w:sz="4" w:space="0"/>
            </w:tcBorders>
            <w:noWrap w:val="0"/>
            <w:vAlign w:val="center"/>
          </w:tcPr>
          <w:p w14:paraId="5CE24EB7">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版面宣传内容能够充分体现民政工作成果或政策发布意义，承诺专版字数、图片数量、版面位置等优于采购需求，得10分；</w:t>
            </w:r>
          </w:p>
          <w:p w14:paraId="2117A5AE">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版面宣传内容基本能够体现民政工作成果或政策发布意义，承诺专版字数、图片数量、版面位置等满足采购需求，得8分；</w:t>
            </w:r>
          </w:p>
          <w:p w14:paraId="342A03C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版面宣传内容对民政工作成果或政策发布意义体现不明显，但承诺专版字数、图片数量、版面位置等能够满足采购需求，得6分；</w:t>
            </w:r>
          </w:p>
          <w:p w14:paraId="1621DD59">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版面宣传内容未体现对民政工作成果或政策发布意义，但承诺专版字数、图片数量、版面位置等能够满足采购需求，得4分；</w:t>
            </w:r>
          </w:p>
          <w:p w14:paraId="12EBDA06">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版面宣传内容有欠缺或专版字数、图片数量、版面位置等有部分欠缺，得2分；</w:t>
            </w:r>
          </w:p>
          <w:p w14:paraId="639250D8">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未提供，得0分。</w:t>
            </w:r>
          </w:p>
        </w:tc>
      </w:tr>
      <w:tr w14:paraId="4F56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07EDED0E">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0C00157F">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top w:val="single" w:color="auto" w:sz="4" w:space="0"/>
              <w:left w:val="single" w:color="auto" w:sz="4" w:space="0"/>
              <w:right w:val="single" w:color="auto" w:sz="4" w:space="0"/>
            </w:tcBorders>
            <w:noWrap w:val="0"/>
            <w:vAlign w:val="center"/>
          </w:tcPr>
          <w:p w14:paraId="3039EFC3">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版面设计、制作方案</w:t>
            </w:r>
          </w:p>
        </w:tc>
        <w:tc>
          <w:tcPr>
            <w:tcW w:w="617" w:type="dxa"/>
            <w:tcBorders>
              <w:top w:val="single" w:color="auto" w:sz="4" w:space="0"/>
              <w:left w:val="single" w:color="auto" w:sz="4" w:space="0"/>
              <w:right w:val="single" w:color="auto" w:sz="4" w:space="0"/>
            </w:tcBorders>
            <w:noWrap w:val="0"/>
            <w:vAlign w:val="center"/>
          </w:tcPr>
          <w:p w14:paraId="0BAF7B23">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7168" w:type="dxa"/>
            <w:tcBorders>
              <w:top w:val="single" w:color="auto" w:sz="4" w:space="0"/>
              <w:left w:val="single" w:color="auto" w:sz="4" w:space="0"/>
              <w:right w:val="single" w:color="auto" w:sz="4" w:space="0"/>
            </w:tcBorders>
            <w:noWrap w:val="0"/>
            <w:vAlign w:val="center"/>
          </w:tcPr>
          <w:p w14:paraId="021B72F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版面设计、制作</w:t>
            </w:r>
            <w:r>
              <w:rPr>
                <w:rFonts w:hint="default" w:ascii="Times New Roman" w:hAnsi="Times New Roman" w:eastAsia="宋体" w:cs="Times New Roman"/>
                <w:color w:val="auto"/>
                <w:kern w:val="0"/>
                <w:sz w:val="21"/>
                <w:szCs w:val="21"/>
                <w:highlight w:val="none"/>
              </w:rPr>
              <w:t>方案，对采购需求的响应程度。</w:t>
            </w:r>
          </w:p>
          <w:p w14:paraId="64E87B05">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方案完整度高、设计新颖、制作流程清晰，校对程序严谨、精确度高，完全满足采购需求的服务及质量要求：8分；</w:t>
            </w:r>
          </w:p>
          <w:p w14:paraId="3B5B7381">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方案较完整度、设计有一定创新性、制作流程明确，校对程序合理、精确度较高，可以满足采购需求的服务及质量要求：6分；</w:t>
            </w:r>
          </w:p>
          <w:p w14:paraId="72331242">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方案基本完整、设计普通、制作流程描述一般，校对方式较简单、精确度一般，基本满足采购需求的服务及质量要求：4分；</w:t>
            </w:r>
          </w:p>
          <w:p w14:paraId="099AB897">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方案完整度较差、设计粗糙、制作流程描述有欠缺，校对简略，无法完全满足采购需求的服务及质量要求：2分；</w:t>
            </w:r>
          </w:p>
          <w:p w14:paraId="7393DCBA">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1796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708ED29D">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1BBA4868">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2CAAD0E2">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媒体发行要求</w:t>
            </w:r>
          </w:p>
        </w:tc>
        <w:tc>
          <w:tcPr>
            <w:tcW w:w="617" w:type="dxa"/>
            <w:tcBorders>
              <w:top w:val="single" w:color="auto" w:sz="4" w:space="0"/>
              <w:left w:val="single" w:color="auto" w:sz="4" w:space="0"/>
              <w:right w:val="single" w:color="auto" w:sz="4" w:space="0"/>
            </w:tcBorders>
            <w:noWrap w:val="0"/>
            <w:vAlign w:val="center"/>
          </w:tcPr>
          <w:p w14:paraId="7851B6C6">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168" w:type="dxa"/>
            <w:tcBorders>
              <w:top w:val="single" w:color="auto" w:sz="4" w:space="0"/>
              <w:left w:val="single" w:color="auto" w:sz="4" w:space="0"/>
              <w:right w:val="single" w:color="auto" w:sz="4" w:space="0"/>
            </w:tcBorders>
            <w:noWrap w:val="0"/>
            <w:vAlign w:val="center"/>
          </w:tcPr>
          <w:p w14:paraId="599027A5">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选择的媒体发行量≥40万份，具有权威性和公信力，新闻内容有深度有品质，得5分；</w:t>
            </w:r>
          </w:p>
          <w:p w14:paraId="5D596831">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选择的媒体发行量≥30万份且＜40万份，得4分；</w:t>
            </w:r>
          </w:p>
          <w:p w14:paraId="1ECA1944">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选择的媒体发行量≥20万份且＜30万份，得2分；</w:t>
            </w:r>
          </w:p>
          <w:p w14:paraId="285D2EBE">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选择的媒体发行量≥10万份且＜20万份，得1分；</w:t>
            </w:r>
          </w:p>
          <w:p w14:paraId="05E72CF5">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选择的媒体发行量＜10万份，不得分。</w:t>
            </w:r>
          </w:p>
          <w:p w14:paraId="48918210">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须提供相关证明材料并加盖供应商公章。</w:t>
            </w:r>
          </w:p>
        </w:tc>
      </w:tr>
      <w:tr w14:paraId="0266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75F3F94D">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763C0EB0">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4170E45C">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管理及质量保证方案</w:t>
            </w:r>
          </w:p>
        </w:tc>
        <w:tc>
          <w:tcPr>
            <w:tcW w:w="617" w:type="dxa"/>
            <w:tcBorders>
              <w:top w:val="single" w:color="auto" w:sz="4" w:space="0"/>
              <w:left w:val="single" w:color="auto" w:sz="4" w:space="0"/>
              <w:right w:val="single" w:color="auto" w:sz="4" w:space="0"/>
            </w:tcBorders>
            <w:noWrap w:val="0"/>
            <w:vAlign w:val="center"/>
          </w:tcPr>
          <w:p w14:paraId="22F47113">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8分</w:t>
            </w:r>
          </w:p>
        </w:tc>
        <w:tc>
          <w:tcPr>
            <w:tcW w:w="7168" w:type="dxa"/>
            <w:tcBorders>
              <w:top w:val="single" w:color="auto" w:sz="4" w:space="0"/>
              <w:left w:val="single" w:color="auto" w:sz="4" w:space="0"/>
              <w:right w:val="single" w:color="auto" w:sz="4" w:space="0"/>
            </w:tcBorders>
            <w:noWrap w:val="0"/>
            <w:vAlign w:val="center"/>
          </w:tcPr>
          <w:p w14:paraId="1E7D8CD9">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w:t>
            </w:r>
            <w:r>
              <w:rPr>
                <w:rFonts w:hint="default" w:ascii="Times New Roman" w:hAnsi="Times New Roman" w:eastAsia="宋体" w:cs="Times New Roman"/>
                <w:b/>
                <w:bCs/>
                <w:color w:val="auto"/>
                <w:kern w:val="0"/>
                <w:sz w:val="21"/>
                <w:szCs w:val="21"/>
                <w:highlight w:val="none"/>
              </w:rPr>
              <w:t>管理及质量保证方案</w:t>
            </w:r>
            <w:r>
              <w:rPr>
                <w:rFonts w:hint="default" w:ascii="Times New Roman" w:hAnsi="Times New Roman" w:eastAsia="宋体" w:cs="Times New Roman"/>
                <w:color w:val="auto"/>
                <w:kern w:val="0"/>
                <w:sz w:val="21"/>
                <w:szCs w:val="21"/>
                <w:highlight w:val="none"/>
              </w:rPr>
              <w:t>，对采购需求的响应程度。</w:t>
            </w:r>
          </w:p>
          <w:p w14:paraId="70487EE4">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方案完整度高、保障措施众多、具有完善的针对纸媒印制与内容校对的监管体系及保障方案、具备完善的内控制度，完全满足采购需求的服务及质量要求：8分；</w:t>
            </w:r>
          </w:p>
          <w:p w14:paraId="6A7C6F12">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方案基本完整、具有一定的保障措施、针对纸媒印制与内容校对的监管体系及保障方案一般、具备一定的内控制度，基本满足采购需求的服务及质量要求：6分；</w:t>
            </w:r>
          </w:p>
          <w:p w14:paraId="6A087ADF">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方案完整度较差、保障措施较少、针对纸媒印制与内容校对的监管体系及保障方案较弱、内控制度建设较差，勉强满足采购需求的服务及质量要求：4分；</w:t>
            </w:r>
          </w:p>
          <w:p w14:paraId="523E66B6">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方案完整度差、保障措施缺失、不具备针对纸媒印制与内容校对的监管体系及保障方案、不具备内控制度，无法完全满足采购需求的服务及质量要求：2分；</w:t>
            </w:r>
          </w:p>
          <w:p w14:paraId="67DB9A11">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未提供任何方案：0分。</w:t>
            </w:r>
          </w:p>
        </w:tc>
      </w:tr>
      <w:tr w14:paraId="3838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60604759">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4D912229">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1EE5565E">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宣传报道方案</w:t>
            </w:r>
          </w:p>
        </w:tc>
        <w:tc>
          <w:tcPr>
            <w:tcW w:w="617" w:type="dxa"/>
            <w:tcBorders>
              <w:top w:val="single" w:color="auto" w:sz="4" w:space="0"/>
              <w:left w:val="single" w:color="auto" w:sz="4" w:space="0"/>
              <w:right w:val="single" w:color="auto" w:sz="4" w:space="0"/>
            </w:tcBorders>
            <w:noWrap w:val="0"/>
            <w:vAlign w:val="center"/>
          </w:tcPr>
          <w:p w14:paraId="04F70B2E">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12分</w:t>
            </w:r>
          </w:p>
        </w:tc>
        <w:tc>
          <w:tcPr>
            <w:tcW w:w="7168" w:type="dxa"/>
            <w:tcBorders>
              <w:top w:val="single" w:color="auto" w:sz="4" w:space="0"/>
              <w:left w:val="single" w:color="auto" w:sz="4" w:space="0"/>
              <w:right w:val="single" w:color="auto" w:sz="4" w:space="0"/>
            </w:tcBorders>
            <w:noWrap w:val="0"/>
            <w:vAlign w:val="center"/>
          </w:tcPr>
          <w:p w14:paraId="22746DBC">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宣传报道方案全面且合理可行，宣传重点明确，完全满足采购需求。能够根据采购单位的工作内容和特点，对民政民生工作进行全方位宣传报道，得12分；</w:t>
            </w:r>
          </w:p>
          <w:p w14:paraId="77CA759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宣传报道方案较为全面合理，能够明确宣传重点，基本满足采购需求，能够根据采购单位的工作内容和特点，对民政民生工作进行宣传报道，得9分；</w:t>
            </w:r>
          </w:p>
          <w:p w14:paraId="6F18E824">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宣传报道方案描述合理性一般，宣传重点未突出，得6分；</w:t>
            </w:r>
          </w:p>
          <w:p w14:paraId="0255F355">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宣传报道方案描述简单，宣传重点不明确，得3分；</w:t>
            </w:r>
          </w:p>
          <w:p w14:paraId="3067AE1D">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未提供，得0分。</w:t>
            </w:r>
          </w:p>
        </w:tc>
      </w:tr>
      <w:tr w14:paraId="505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5AB0F203">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3EC6461F">
            <w:pPr>
              <w:keepNext w:val="0"/>
              <w:keepLines w:val="0"/>
              <w:pageBreakBefore w:val="0"/>
              <w:widowControl/>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top w:val="single" w:color="auto" w:sz="4" w:space="0"/>
              <w:left w:val="single" w:color="auto" w:sz="4" w:space="0"/>
              <w:right w:val="single" w:color="auto" w:sz="4" w:space="0"/>
            </w:tcBorders>
            <w:noWrap w:val="0"/>
            <w:vAlign w:val="center"/>
          </w:tcPr>
          <w:p w14:paraId="08145B62">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时间进度安排</w:t>
            </w:r>
          </w:p>
        </w:tc>
        <w:tc>
          <w:tcPr>
            <w:tcW w:w="617" w:type="dxa"/>
            <w:tcBorders>
              <w:top w:val="single" w:color="auto" w:sz="4" w:space="0"/>
              <w:left w:val="single" w:color="auto" w:sz="4" w:space="0"/>
              <w:right w:val="single" w:color="auto" w:sz="4" w:space="0"/>
            </w:tcBorders>
            <w:noWrap w:val="0"/>
            <w:vAlign w:val="center"/>
          </w:tcPr>
          <w:p w14:paraId="44A88B12">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168" w:type="dxa"/>
            <w:tcBorders>
              <w:top w:val="single" w:color="auto" w:sz="4" w:space="0"/>
              <w:left w:val="single" w:color="auto" w:sz="4" w:space="0"/>
              <w:right w:val="single" w:color="auto" w:sz="4" w:space="0"/>
            </w:tcBorders>
            <w:noWrap w:val="0"/>
            <w:vAlign w:val="center"/>
          </w:tcPr>
          <w:p w14:paraId="12C5DDAB">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综合考虑供应商提供的本项目时间进度安排对采购需求的响应程度。</w:t>
            </w:r>
          </w:p>
          <w:p w14:paraId="6AE017E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时间安排科学合理、利用率高、响应时效性强，完全满足采购需求：5分；</w:t>
            </w:r>
          </w:p>
          <w:p w14:paraId="2674B360">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时间安排较松散、利用率一般、响应时效性一般，基本满足采购需求：3分；</w:t>
            </w:r>
          </w:p>
          <w:p w14:paraId="5CE38F78">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时间安排混乱无序、利用率低、响应时效性差，无法完全满足采购需求：1分；</w:t>
            </w:r>
          </w:p>
          <w:p w14:paraId="611C7649">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303F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769EE033">
            <w:pPr>
              <w:keepNext w:val="0"/>
              <w:keepLines w:val="0"/>
              <w:pageBreakBefore w:val="0"/>
              <w:widowControl/>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184045EC">
            <w:pPr>
              <w:keepNext w:val="0"/>
              <w:keepLines w:val="0"/>
              <w:pageBreakBefore w:val="0"/>
              <w:widowControl/>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restart"/>
            <w:tcBorders>
              <w:top w:val="single" w:color="auto" w:sz="4" w:space="0"/>
              <w:left w:val="single" w:color="auto" w:sz="4" w:space="0"/>
              <w:right w:val="single" w:color="auto" w:sz="4" w:space="0"/>
            </w:tcBorders>
            <w:noWrap w:val="0"/>
            <w:vAlign w:val="center"/>
          </w:tcPr>
          <w:p w14:paraId="18A12E04">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实施团队人员安排</w:t>
            </w:r>
          </w:p>
        </w:tc>
        <w:tc>
          <w:tcPr>
            <w:tcW w:w="617" w:type="dxa"/>
            <w:tcBorders>
              <w:top w:val="single" w:color="auto" w:sz="4" w:space="0"/>
              <w:left w:val="single" w:color="auto" w:sz="4" w:space="0"/>
              <w:right w:val="single" w:color="auto" w:sz="4" w:space="0"/>
            </w:tcBorders>
            <w:noWrap w:val="0"/>
            <w:vAlign w:val="center"/>
          </w:tcPr>
          <w:p w14:paraId="098255BF">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分</w:t>
            </w:r>
          </w:p>
        </w:tc>
        <w:tc>
          <w:tcPr>
            <w:tcW w:w="7168" w:type="dxa"/>
            <w:tcBorders>
              <w:top w:val="single" w:color="auto" w:sz="4" w:space="0"/>
              <w:left w:val="single" w:color="auto" w:sz="4" w:space="0"/>
              <w:right w:val="single" w:color="auto" w:sz="4" w:space="0"/>
            </w:tcBorders>
            <w:noWrap w:val="0"/>
            <w:vAlign w:val="center"/>
          </w:tcPr>
          <w:p w14:paraId="623CE4A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项目负责人具有《新闻采编从业资格证》的得3分。</w:t>
            </w:r>
          </w:p>
          <w:p w14:paraId="05027AD7">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注：需提供以上证明复印件作为证明，</w:t>
            </w:r>
            <w:r>
              <w:rPr>
                <w:rFonts w:hint="eastAsia" w:cs="Times New Roman"/>
                <w:color w:val="auto"/>
                <w:kern w:val="0"/>
                <w:sz w:val="21"/>
                <w:szCs w:val="21"/>
                <w:highlight w:val="none"/>
                <w:lang w:val="en-US" w:eastAsia="zh-CN"/>
              </w:rPr>
              <w:t>并</w:t>
            </w:r>
            <w:r>
              <w:rPr>
                <w:rFonts w:hint="default" w:ascii="Times New Roman" w:hAnsi="Times New Roman" w:eastAsia="宋体" w:cs="Times New Roman"/>
                <w:color w:val="auto"/>
                <w:kern w:val="0"/>
                <w:sz w:val="21"/>
                <w:szCs w:val="21"/>
                <w:highlight w:val="none"/>
              </w:rPr>
              <w:t>加盖供应商公章。</w:t>
            </w:r>
          </w:p>
        </w:tc>
      </w:tr>
      <w:tr w14:paraId="49A7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3F60011E">
            <w:pPr>
              <w:keepNext w:val="0"/>
              <w:keepLines w:val="0"/>
              <w:pageBreakBefore w:val="0"/>
              <w:widowControl/>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523F1ED2">
            <w:pPr>
              <w:keepNext w:val="0"/>
              <w:keepLines w:val="0"/>
              <w:pageBreakBefore w:val="0"/>
              <w:widowControl/>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left w:val="single" w:color="auto" w:sz="4" w:space="0"/>
              <w:right w:val="single" w:color="auto" w:sz="4" w:space="0"/>
            </w:tcBorders>
            <w:noWrap w:val="0"/>
            <w:vAlign w:val="center"/>
          </w:tcPr>
          <w:p w14:paraId="0B53F22F">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4D77DA3C">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kern w:val="0"/>
                <w:sz w:val="21"/>
                <w:szCs w:val="21"/>
                <w:highlight w:val="none"/>
              </w:rPr>
            </w:pPr>
            <w:r>
              <w:rPr>
                <w:rFonts w:hint="eastAsia"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rPr>
              <w:t>分</w:t>
            </w:r>
          </w:p>
        </w:tc>
        <w:tc>
          <w:tcPr>
            <w:tcW w:w="7168" w:type="dxa"/>
            <w:tcBorders>
              <w:top w:val="single" w:color="auto" w:sz="4" w:space="0"/>
              <w:left w:val="single" w:color="auto" w:sz="4" w:space="0"/>
              <w:right w:val="single" w:color="auto" w:sz="4" w:space="0"/>
            </w:tcBorders>
            <w:noWrap w:val="0"/>
            <w:vAlign w:val="center"/>
          </w:tcPr>
          <w:p w14:paraId="40A20952">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w:t>
            </w:r>
            <w:r>
              <w:rPr>
                <w:rFonts w:hint="default" w:ascii="Times New Roman" w:hAnsi="Times New Roman" w:eastAsia="宋体" w:cs="Times New Roman"/>
                <w:color w:val="auto"/>
                <w:kern w:val="0"/>
                <w:sz w:val="21"/>
                <w:szCs w:val="21"/>
                <w:highlight w:val="none"/>
                <w:lang w:val="en-US" w:eastAsia="zh-CN"/>
              </w:rPr>
              <w:t>配置满足采购需求，</w:t>
            </w:r>
            <w:r>
              <w:rPr>
                <w:rFonts w:hint="default" w:ascii="Times New Roman" w:hAnsi="Times New Roman" w:eastAsia="宋体" w:cs="Times New Roman"/>
                <w:color w:val="auto"/>
                <w:kern w:val="0"/>
                <w:sz w:val="21"/>
                <w:szCs w:val="21"/>
                <w:highlight w:val="none"/>
              </w:rPr>
              <w:t>岗位明确、</w:t>
            </w:r>
            <w:r>
              <w:rPr>
                <w:rFonts w:hint="default" w:ascii="Times New Roman" w:hAnsi="Times New Roman" w:eastAsia="宋体" w:cs="Times New Roman"/>
                <w:color w:val="auto"/>
                <w:kern w:val="0"/>
                <w:sz w:val="21"/>
                <w:szCs w:val="21"/>
                <w:highlight w:val="none"/>
                <w:lang w:val="en-US" w:eastAsia="zh-CN"/>
              </w:rPr>
              <w:t>职责</w:t>
            </w:r>
            <w:r>
              <w:rPr>
                <w:rFonts w:hint="default" w:ascii="Times New Roman" w:hAnsi="Times New Roman" w:eastAsia="宋体" w:cs="Times New Roman"/>
                <w:color w:val="auto"/>
                <w:kern w:val="0"/>
                <w:sz w:val="21"/>
                <w:szCs w:val="21"/>
                <w:highlight w:val="none"/>
              </w:rPr>
              <w:t>清晰</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岗位设置科学</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各方衔接紧密，得</w:t>
            </w:r>
            <w:r>
              <w:rPr>
                <w:rFonts w:hint="default" w:ascii="Times New Roman" w:hAnsi="Times New Roman" w:eastAsia="宋体"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分；</w:t>
            </w:r>
          </w:p>
          <w:p w14:paraId="24CF72C6">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w:t>
            </w:r>
            <w:r>
              <w:rPr>
                <w:rFonts w:hint="default" w:ascii="Times New Roman" w:hAnsi="Times New Roman" w:eastAsia="宋体" w:cs="Times New Roman"/>
                <w:color w:val="auto"/>
                <w:kern w:val="0"/>
                <w:sz w:val="21"/>
                <w:szCs w:val="21"/>
                <w:highlight w:val="none"/>
                <w:lang w:val="en-US" w:eastAsia="zh-CN"/>
              </w:rPr>
              <w:t>配置满足采购需求，岗位</w:t>
            </w:r>
            <w:r>
              <w:rPr>
                <w:rFonts w:hint="default" w:ascii="Times New Roman" w:hAnsi="Times New Roman" w:eastAsia="宋体" w:cs="Times New Roman"/>
                <w:color w:val="auto"/>
                <w:kern w:val="0"/>
                <w:sz w:val="21"/>
                <w:szCs w:val="21"/>
                <w:highlight w:val="none"/>
              </w:rPr>
              <w:t>分工较为明确、</w:t>
            </w:r>
            <w:r>
              <w:rPr>
                <w:rFonts w:hint="default" w:ascii="Times New Roman" w:hAnsi="Times New Roman" w:eastAsia="宋体" w:cs="Times New Roman"/>
                <w:color w:val="auto"/>
                <w:kern w:val="0"/>
                <w:sz w:val="21"/>
                <w:szCs w:val="21"/>
                <w:highlight w:val="none"/>
                <w:lang w:val="en-US" w:eastAsia="zh-CN"/>
              </w:rPr>
              <w:t>职责</w:t>
            </w:r>
            <w:r>
              <w:rPr>
                <w:rFonts w:hint="default" w:ascii="Times New Roman" w:hAnsi="Times New Roman" w:eastAsia="宋体" w:cs="Times New Roman"/>
                <w:color w:val="auto"/>
                <w:kern w:val="0"/>
                <w:sz w:val="21"/>
                <w:szCs w:val="21"/>
                <w:highlight w:val="none"/>
              </w:rPr>
              <w:t>较为清晰、岗位设置较为科学，得</w:t>
            </w:r>
            <w:r>
              <w:rPr>
                <w:rFonts w:hint="default" w:ascii="Times New Roman" w:hAnsi="Times New Roman" w:eastAsia="宋体"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分；</w:t>
            </w:r>
          </w:p>
          <w:p w14:paraId="47E418A2">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团队</w:t>
            </w:r>
            <w:r>
              <w:rPr>
                <w:rFonts w:hint="default" w:ascii="Times New Roman" w:hAnsi="Times New Roman" w:eastAsia="宋体" w:cs="Times New Roman"/>
                <w:color w:val="auto"/>
                <w:kern w:val="0"/>
                <w:sz w:val="21"/>
                <w:szCs w:val="21"/>
                <w:highlight w:val="none"/>
                <w:lang w:val="en-US" w:eastAsia="zh-CN"/>
              </w:rPr>
              <w:t>配置满足采购需求，</w:t>
            </w:r>
            <w:r>
              <w:rPr>
                <w:rFonts w:hint="default" w:ascii="Times New Roman" w:hAnsi="Times New Roman" w:eastAsia="宋体" w:cs="Times New Roman"/>
                <w:color w:val="auto"/>
                <w:kern w:val="0"/>
                <w:sz w:val="21"/>
                <w:szCs w:val="21"/>
                <w:highlight w:val="none"/>
              </w:rPr>
              <w:t>职责体系构建一般</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lang w:val="en-US" w:eastAsia="zh-CN"/>
              </w:rPr>
              <w:t>的3分；</w:t>
            </w:r>
          </w:p>
          <w:p w14:paraId="236F43D7">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w:t>
            </w:r>
            <w:r>
              <w:rPr>
                <w:rFonts w:hint="default" w:ascii="Times New Roman" w:hAnsi="Times New Roman" w:eastAsia="宋体" w:cs="Times New Roman"/>
                <w:color w:val="auto"/>
                <w:kern w:val="0"/>
                <w:sz w:val="21"/>
                <w:szCs w:val="21"/>
                <w:highlight w:val="none"/>
                <w:lang w:val="en-US" w:eastAsia="zh-CN"/>
              </w:rPr>
              <w:t>数量不满足采购需求，或岗位</w:t>
            </w:r>
            <w:r>
              <w:rPr>
                <w:rFonts w:hint="default" w:ascii="Times New Roman" w:hAnsi="Times New Roman" w:eastAsia="宋体" w:cs="Times New Roman"/>
                <w:color w:val="auto"/>
                <w:kern w:val="0"/>
                <w:sz w:val="21"/>
                <w:szCs w:val="21"/>
                <w:highlight w:val="none"/>
              </w:rPr>
              <w:t>分工不明确、职责混乱，得1分；</w:t>
            </w:r>
          </w:p>
          <w:p w14:paraId="112EB13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未提供，得0分。</w:t>
            </w:r>
          </w:p>
        </w:tc>
      </w:tr>
      <w:tr w14:paraId="50F3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vMerge w:val="continue"/>
            <w:tcBorders>
              <w:left w:val="single" w:color="auto" w:sz="4" w:space="0"/>
              <w:right w:val="single" w:color="auto" w:sz="4" w:space="0"/>
            </w:tcBorders>
            <w:noWrap w:val="0"/>
            <w:vAlign w:val="center"/>
          </w:tcPr>
          <w:p w14:paraId="6648DE16">
            <w:pPr>
              <w:keepNext w:val="0"/>
              <w:keepLines w:val="0"/>
              <w:pageBreakBefore w:val="0"/>
              <w:widowControl/>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00" w:type="dxa"/>
            <w:vMerge w:val="continue"/>
            <w:tcBorders>
              <w:left w:val="single" w:color="auto" w:sz="4" w:space="0"/>
              <w:right w:val="single" w:color="auto" w:sz="4" w:space="0"/>
            </w:tcBorders>
            <w:noWrap w:val="0"/>
            <w:vAlign w:val="center"/>
          </w:tcPr>
          <w:p w14:paraId="1024B5EE">
            <w:pPr>
              <w:keepNext w:val="0"/>
              <w:keepLines w:val="0"/>
              <w:pageBreakBefore w:val="0"/>
              <w:widowControl/>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top w:val="single" w:color="auto" w:sz="4" w:space="0"/>
              <w:left w:val="single" w:color="auto" w:sz="4" w:space="0"/>
              <w:right w:val="single" w:color="auto" w:sz="4" w:space="0"/>
            </w:tcBorders>
            <w:noWrap w:val="0"/>
            <w:vAlign w:val="center"/>
          </w:tcPr>
          <w:p w14:paraId="5BDB49E5">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386443CB">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168" w:type="dxa"/>
            <w:tcBorders>
              <w:top w:val="single" w:color="auto" w:sz="4" w:space="0"/>
              <w:left w:val="single" w:color="auto" w:sz="4" w:space="0"/>
              <w:right w:val="single" w:color="auto" w:sz="4" w:space="0"/>
            </w:tcBorders>
            <w:noWrap w:val="0"/>
            <w:vAlign w:val="center"/>
          </w:tcPr>
          <w:p w14:paraId="6CD0B92B">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w:t>
            </w:r>
            <w:r>
              <w:rPr>
                <w:rFonts w:hint="default" w:ascii="Times New Roman" w:hAnsi="Times New Roman" w:eastAsia="宋体" w:cs="Times New Roman"/>
                <w:color w:val="auto"/>
                <w:sz w:val="21"/>
                <w:szCs w:val="21"/>
                <w:highlight w:val="none"/>
              </w:rPr>
              <w:t>专业性强、</w:t>
            </w:r>
            <w:r>
              <w:rPr>
                <w:rFonts w:hint="default" w:ascii="Times New Roman" w:hAnsi="Times New Roman" w:eastAsia="宋体" w:cs="Times New Roman"/>
                <w:color w:val="auto"/>
                <w:kern w:val="0"/>
                <w:sz w:val="21"/>
                <w:szCs w:val="21"/>
                <w:highlight w:val="none"/>
              </w:rPr>
              <w:t>经验丰富</w:t>
            </w:r>
            <w:r>
              <w:rPr>
                <w:rFonts w:hint="eastAsia" w:ascii="Times New Roman" w:hAnsi="Times New Roman"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主要成员</w:t>
            </w:r>
            <w:r>
              <w:rPr>
                <w:rFonts w:hint="eastAsia" w:cs="Times New Roman"/>
                <w:color w:val="auto"/>
                <w:kern w:val="0"/>
                <w:sz w:val="21"/>
                <w:szCs w:val="21"/>
                <w:highlight w:val="none"/>
                <w:lang w:eastAsia="zh-CN"/>
              </w:rPr>
              <w:t>（统筹、</w:t>
            </w:r>
            <w:r>
              <w:rPr>
                <w:rFonts w:hint="eastAsia" w:cs="Times New Roman"/>
                <w:color w:val="auto"/>
                <w:kern w:val="0"/>
                <w:sz w:val="21"/>
                <w:szCs w:val="21"/>
                <w:highlight w:val="none"/>
                <w:lang w:val="en-US" w:eastAsia="zh-CN"/>
              </w:rPr>
              <w:t>文字记者、编辑、摄影</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均具有</w:t>
            </w:r>
            <w:r>
              <w:rPr>
                <w:rFonts w:hint="default" w:ascii="Times New Roman" w:hAnsi="Times New Roman" w:eastAsia="宋体" w:cs="Times New Roman"/>
                <w:color w:val="auto"/>
                <w:kern w:val="0"/>
                <w:sz w:val="21"/>
                <w:szCs w:val="21"/>
                <w:highlight w:val="none"/>
              </w:rPr>
              <w:t>2年</w:t>
            </w:r>
            <w:r>
              <w:rPr>
                <w:rFonts w:hint="eastAsia" w:cs="Times New Roman"/>
                <w:color w:val="auto"/>
                <w:kern w:val="0"/>
                <w:sz w:val="21"/>
                <w:szCs w:val="21"/>
                <w:highlight w:val="none"/>
                <w:lang w:val="en-US" w:eastAsia="zh-CN"/>
              </w:rPr>
              <w:t>及</w:t>
            </w:r>
            <w:r>
              <w:rPr>
                <w:rFonts w:hint="default" w:ascii="Times New Roman" w:hAnsi="Times New Roman" w:eastAsia="宋体" w:cs="Times New Roman"/>
                <w:color w:val="auto"/>
                <w:kern w:val="0"/>
                <w:sz w:val="21"/>
                <w:szCs w:val="21"/>
                <w:highlight w:val="none"/>
              </w:rPr>
              <w:t>以上工作经</w:t>
            </w:r>
            <w:r>
              <w:rPr>
                <w:rFonts w:hint="eastAsia" w:cs="Times New Roman"/>
                <w:color w:val="auto"/>
                <w:kern w:val="0"/>
                <w:sz w:val="21"/>
                <w:szCs w:val="21"/>
                <w:highlight w:val="none"/>
                <w:lang w:val="en-US" w:eastAsia="zh-CN"/>
              </w:rPr>
              <w:t>历，文字记者均持有记者证</w:t>
            </w:r>
            <w:r>
              <w:rPr>
                <w:rFonts w:hint="default" w:ascii="Times New Roman" w:hAnsi="Times New Roman" w:eastAsia="宋体" w:cs="Times New Roman"/>
                <w:color w:val="auto"/>
                <w:kern w:val="0"/>
                <w:sz w:val="21"/>
                <w:szCs w:val="21"/>
                <w:highlight w:val="none"/>
              </w:rPr>
              <w:t>，得10分；</w:t>
            </w:r>
          </w:p>
          <w:p w14:paraId="0B79ED6B">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w:t>
            </w:r>
            <w:r>
              <w:rPr>
                <w:rFonts w:hint="default" w:ascii="Times New Roman" w:hAnsi="Times New Roman" w:eastAsia="宋体" w:cs="Times New Roman"/>
                <w:color w:val="auto"/>
                <w:sz w:val="21"/>
                <w:szCs w:val="21"/>
                <w:highlight w:val="none"/>
              </w:rPr>
              <w:t>专业性较强、</w:t>
            </w:r>
            <w:r>
              <w:rPr>
                <w:rFonts w:hint="default" w:ascii="Times New Roman" w:hAnsi="Times New Roman" w:eastAsia="宋体" w:cs="Times New Roman"/>
                <w:color w:val="auto"/>
                <w:kern w:val="0"/>
                <w:sz w:val="21"/>
                <w:szCs w:val="21"/>
                <w:highlight w:val="none"/>
              </w:rPr>
              <w:t>经验较丰富，</w:t>
            </w:r>
            <w:r>
              <w:rPr>
                <w:rFonts w:hint="eastAsia" w:cs="Times New Roman"/>
                <w:color w:val="auto"/>
                <w:kern w:val="0"/>
                <w:sz w:val="21"/>
                <w:szCs w:val="21"/>
                <w:highlight w:val="none"/>
                <w:lang w:val="en-US" w:eastAsia="zh-CN"/>
              </w:rPr>
              <w:t>主要成员</w:t>
            </w:r>
            <w:r>
              <w:rPr>
                <w:rFonts w:hint="eastAsia" w:cs="Times New Roman"/>
                <w:color w:val="auto"/>
                <w:kern w:val="0"/>
                <w:sz w:val="21"/>
                <w:szCs w:val="21"/>
                <w:highlight w:val="none"/>
                <w:lang w:eastAsia="zh-CN"/>
              </w:rPr>
              <w:t>（统筹、</w:t>
            </w:r>
            <w:r>
              <w:rPr>
                <w:rFonts w:hint="eastAsia" w:cs="Times New Roman"/>
                <w:color w:val="auto"/>
                <w:kern w:val="0"/>
                <w:sz w:val="21"/>
                <w:szCs w:val="21"/>
                <w:highlight w:val="none"/>
                <w:lang w:val="en-US" w:eastAsia="zh-CN"/>
              </w:rPr>
              <w:t>文字记者、编辑、摄影</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均具有</w:t>
            </w:r>
            <w:r>
              <w:rPr>
                <w:rFonts w:hint="default" w:ascii="Times New Roman" w:hAnsi="Times New Roman" w:eastAsia="宋体" w:cs="Times New Roman"/>
                <w:color w:val="auto"/>
                <w:kern w:val="0"/>
                <w:sz w:val="21"/>
                <w:szCs w:val="21"/>
                <w:highlight w:val="none"/>
              </w:rPr>
              <w:t>2年</w:t>
            </w:r>
            <w:r>
              <w:rPr>
                <w:rFonts w:hint="eastAsia" w:cs="Times New Roman"/>
                <w:color w:val="auto"/>
                <w:kern w:val="0"/>
                <w:sz w:val="21"/>
                <w:szCs w:val="21"/>
                <w:highlight w:val="none"/>
                <w:lang w:val="en-US" w:eastAsia="zh-CN"/>
              </w:rPr>
              <w:t>及</w:t>
            </w:r>
            <w:r>
              <w:rPr>
                <w:rFonts w:hint="default" w:ascii="Times New Roman" w:hAnsi="Times New Roman" w:eastAsia="宋体" w:cs="Times New Roman"/>
                <w:color w:val="auto"/>
                <w:kern w:val="0"/>
                <w:sz w:val="21"/>
                <w:szCs w:val="21"/>
                <w:highlight w:val="none"/>
              </w:rPr>
              <w:t>以上工作经</w:t>
            </w:r>
            <w:r>
              <w:rPr>
                <w:rFonts w:hint="eastAsia" w:cs="Times New Roman"/>
                <w:color w:val="auto"/>
                <w:kern w:val="0"/>
                <w:sz w:val="21"/>
                <w:szCs w:val="21"/>
                <w:highlight w:val="none"/>
                <w:lang w:val="en-US" w:eastAsia="zh-CN"/>
              </w:rPr>
              <w:t>历，文字记者均持有记者证</w:t>
            </w:r>
            <w:r>
              <w:rPr>
                <w:rFonts w:hint="default" w:ascii="Times New Roman" w:hAnsi="Times New Roman" w:eastAsia="宋体" w:cs="Times New Roman"/>
                <w:color w:val="auto"/>
                <w:kern w:val="0"/>
                <w:sz w:val="21"/>
                <w:szCs w:val="21"/>
                <w:highlight w:val="none"/>
              </w:rPr>
              <w:t>，得8分；</w:t>
            </w:r>
          </w:p>
          <w:p w14:paraId="6916E6E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w:t>
            </w:r>
            <w:r>
              <w:rPr>
                <w:rFonts w:hint="default" w:ascii="Times New Roman" w:hAnsi="Times New Roman" w:eastAsia="宋体" w:cs="Times New Roman"/>
                <w:color w:val="auto"/>
                <w:sz w:val="21"/>
                <w:szCs w:val="21"/>
                <w:highlight w:val="none"/>
              </w:rPr>
              <w:t>专业性基本满足需求、</w:t>
            </w:r>
            <w:r>
              <w:rPr>
                <w:rFonts w:hint="default" w:ascii="Times New Roman" w:hAnsi="Times New Roman" w:eastAsia="宋体" w:cs="Times New Roman"/>
                <w:color w:val="auto"/>
                <w:kern w:val="0"/>
                <w:sz w:val="21"/>
                <w:szCs w:val="21"/>
                <w:highlight w:val="none"/>
              </w:rPr>
              <w:t>经验一般，</w:t>
            </w:r>
            <w:r>
              <w:rPr>
                <w:rFonts w:hint="eastAsia" w:cs="Times New Roman"/>
                <w:color w:val="auto"/>
                <w:kern w:val="0"/>
                <w:sz w:val="21"/>
                <w:szCs w:val="21"/>
                <w:highlight w:val="none"/>
                <w:lang w:val="en-US" w:eastAsia="zh-CN"/>
              </w:rPr>
              <w:t>主要成员</w:t>
            </w:r>
            <w:r>
              <w:rPr>
                <w:rFonts w:hint="eastAsia" w:cs="Times New Roman"/>
                <w:color w:val="auto"/>
                <w:kern w:val="0"/>
                <w:sz w:val="21"/>
                <w:szCs w:val="21"/>
                <w:highlight w:val="none"/>
                <w:lang w:eastAsia="zh-CN"/>
              </w:rPr>
              <w:t>（统筹、</w:t>
            </w:r>
            <w:r>
              <w:rPr>
                <w:rFonts w:hint="eastAsia" w:cs="Times New Roman"/>
                <w:color w:val="auto"/>
                <w:kern w:val="0"/>
                <w:sz w:val="21"/>
                <w:szCs w:val="21"/>
                <w:highlight w:val="none"/>
                <w:lang w:val="en-US" w:eastAsia="zh-CN"/>
              </w:rPr>
              <w:t>文字记者、编辑、摄影</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均具有</w:t>
            </w:r>
            <w:r>
              <w:rPr>
                <w:rFonts w:hint="default" w:ascii="Times New Roman" w:hAnsi="Times New Roman" w:eastAsia="宋体" w:cs="Times New Roman"/>
                <w:color w:val="auto"/>
                <w:kern w:val="0"/>
                <w:sz w:val="21"/>
                <w:szCs w:val="21"/>
                <w:highlight w:val="none"/>
              </w:rPr>
              <w:t>2年</w:t>
            </w:r>
            <w:r>
              <w:rPr>
                <w:rFonts w:hint="eastAsia" w:cs="Times New Roman"/>
                <w:color w:val="auto"/>
                <w:kern w:val="0"/>
                <w:sz w:val="21"/>
                <w:szCs w:val="21"/>
                <w:highlight w:val="none"/>
                <w:lang w:val="en-US" w:eastAsia="zh-CN"/>
              </w:rPr>
              <w:t>及</w:t>
            </w:r>
            <w:r>
              <w:rPr>
                <w:rFonts w:hint="default" w:ascii="Times New Roman" w:hAnsi="Times New Roman" w:eastAsia="宋体" w:cs="Times New Roman"/>
                <w:color w:val="auto"/>
                <w:kern w:val="0"/>
                <w:sz w:val="21"/>
                <w:szCs w:val="21"/>
                <w:highlight w:val="none"/>
              </w:rPr>
              <w:t>以上工作经</w:t>
            </w:r>
            <w:r>
              <w:rPr>
                <w:rFonts w:hint="eastAsia" w:cs="Times New Roman"/>
                <w:color w:val="auto"/>
                <w:kern w:val="0"/>
                <w:sz w:val="21"/>
                <w:szCs w:val="21"/>
                <w:highlight w:val="none"/>
                <w:lang w:val="en-US" w:eastAsia="zh-CN"/>
              </w:rPr>
              <w:t>历，文字记者均持有记者证</w:t>
            </w:r>
            <w:r>
              <w:rPr>
                <w:rFonts w:hint="default" w:ascii="Times New Roman" w:hAnsi="Times New Roman" w:eastAsia="宋体" w:cs="Times New Roman"/>
                <w:color w:val="auto"/>
                <w:kern w:val="0"/>
                <w:sz w:val="21"/>
                <w:szCs w:val="21"/>
                <w:highlight w:val="none"/>
              </w:rPr>
              <w:t>，得6分；</w:t>
            </w:r>
          </w:p>
          <w:p w14:paraId="0378B163">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团队成员缺少</w:t>
            </w:r>
            <w:r>
              <w:rPr>
                <w:rFonts w:hint="default" w:ascii="Times New Roman" w:hAnsi="Times New Roman" w:eastAsia="宋体" w:cs="Times New Roman"/>
                <w:color w:val="auto"/>
                <w:sz w:val="21"/>
                <w:szCs w:val="21"/>
                <w:highlight w:val="none"/>
              </w:rPr>
              <w:t>专业性及</w:t>
            </w:r>
            <w:r>
              <w:rPr>
                <w:rFonts w:hint="eastAsia" w:ascii="Times New Roman" w:hAnsi="Times New Roman" w:cs="Times New Roman"/>
                <w:color w:val="auto"/>
                <w:sz w:val="21"/>
                <w:szCs w:val="21"/>
                <w:highlight w:val="none"/>
                <w:lang w:val="en-US" w:eastAsia="zh-CN"/>
              </w:rPr>
              <w:t>相关</w:t>
            </w:r>
            <w:r>
              <w:rPr>
                <w:rFonts w:hint="default" w:ascii="Times New Roman" w:hAnsi="Times New Roman" w:eastAsia="宋体" w:cs="Times New Roman"/>
                <w:color w:val="auto"/>
                <w:kern w:val="0"/>
                <w:sz w:val="21"/>
                <w:szCs w:val="21"/>
                <w:highlight w:val="none"/>
              </w:rPr>
              <w:t>经验，得4分；</w:t>
            </w:r>
          </w:p>
          <w:p w14:paraId="7566FD38">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团队成员</w:t>
            </w:r>
            <w:r>
              <w:rPr>
                <w:rFonts w:hint="default" w:ascii="Times New Roman" w:hAnsi="Times New Roman" w:eastAsia="宋体" w:cs="Times New Roman"/>
                <w:color w:val="auto"/>
                <w:sz w:val="21"/>
                <w:szCs w:val="21"/>
                <w:highlight w:val="none"/>
              </w:rPr>
              <w:t>专业性差或无相关项目经验</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kern w:val="0"/>
                <w:sz w:val="21"/>
                <w:szCs w:val="21"/>
                <w:highlight w:val="none"/>
              </w:rPr>
              <w:t>得2分；</w:t>
            </w:r>
          </w:p>
          <w:p w14:paraId="7A484BA0">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未提供，得0分。</w:t>
            </w:r>
          </w:p>
          <w:p w14:paraId="65DC60FE">
            <w:pPr>
              <w:keepNext w:val="0"/>
              <w:keepLines w:val="0"/>
              <w:pageBreakBefore w:val="0"/>
              <w:kinsoku/>
              <w:wordWrap/>
              <w:overflowPunct/>
              <w:topLinePunct w:val="0"/>
              <w:autoSpaceDE/>
              <w:autoSpaceDN/>
              <w:bidi w:val="0"/>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注：提供项目团队人员</w:t>
            </w:r>
            <w:r>
              <w:rPr>
                <w:rFonts w:hint="eastAsia" w:cs="Times New Roman"/>
                <w:color w:val="auto"/>
                <w:kern w:val="0"/>
                <w:sz w:val="21"/>
                <w:szCs w:val="21"/>
                <w:highlight w:val="none"/>
                <w:lang w:val="en-US" w:eastAsia="zh-CN"/>
              </w:rPr>
              <w:t>简历</w:t>
            </w:r>
            <w:r>
              <w:rPr>
                <w:rFonts w:hint="default" w:ascii="Times New Roman" w:hAnsi="Times New Roman" w:eastAsia="宋体" w:cs="Times New Roman"/>
                <w:color w:val="auto"/>
                <w:kern w:val="0"/>
                <w:sz w:val="21"/>
                <w:szCs w:val="21"/>
                <w:highlight w:val="none"/>
              </w:rPr>
              <w:t>、证书复印件</w:t>
            </w:r>
            <w:r>
              <w:rPr>
                <w:rFonts w:hint="eastAsia" w:cs="Times New Roman"/>
                <w:color w:val="auto"/>
                <w:kern w:val="0"/>
                <w:sz w:val="21"/>
                <w:szCs w:val="21"/>
                <w:highlight w:val="none"/>
                <w:lang w:eastAsia="zh-CN"/>
              </w:rPr>
              <w:t>、</w:t>
            </w:r>
            <w:r>
              <w:rPr>
                <w:rFonts w:hint="default" w:ascii="Times New Roman" w:hAnsi="Times New Roman" w:eastAsia="宋体" w:cs="Times New Roman"/>
                <w:color w:val="auto"/>
                <w:kern w:val="0"/>
                <w:sz w:val="21"/>
                <w:szCs w:val="21"/>
                <w:highlight w:val="none"/>
              </w:rPr>
              <w:t>资历证明等材料。</w:t>
            </w:r>
          </w:p>
        </w:tc>
      </w:tr>
      <w:tr w14:paraId="5F90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14:paraId="298FFFA5">
            <w:pPr>
              <w:keepNext w:val="0"/>
              <w:keepLines w:val="0"/>
              <w:pageBreakBefore w:val="0"/>
              <w:kinsoku/>
              <w:wordWrap/>
              <w:overflowPunct/>
              <w:topLinePunct w:val="0"/>
              <w:autoSpaceDE/>
              <w:autoSpaceDN/>
              <w:bidi w:val="0"/>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B8CC82D">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报价</w:t>
            </w:r>
          </w:p>
          <w:p w14:paraId="2B9C6274">
            <w:pPr>
              <w:keepNext w:val="0"/>
              <w:keepLines w:val="0"/>
              <w:pageBreakBefore w:val="0"/>
              <w:kinsoku/>
              <w:wordWrap/>
              <w:overflowPunct/>
              <w:topLinePunct w:val="0"/>
              <w:autoSpaceDE/>
              <w:autoSpaceDN/>
              <w:bidi w:val="0"/>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8951" w:type="dxa"/>
            <w:gridSpan w:val="3"/>
            <w:tcBorders>
              <w:top w:val="single" w:color="auto" w:sz="4" w:space="0"/>
              <w:left w:val="single" w:color="auto" w:sz="4" w:space="0"/>
              <w:bottom w:val="single" w:color="auto" w:sz="4" w:space="0"/>
              <w:right w:val="single" w:color="auto" w:sz="4" w:space="0"/>
            </w:tcBorders>
            <w:noWrap w:val="0"/>
            <w:vAlign w:val="center"/>
          </w:tcPr>
          <w:p w14:paraId="31156159">
            <w:pPr>
              <w:pStyle w:val="2"/>
              <w:keepNext w:val="0"/>
              <w:keepLines w:val="0"/>
              <w:pageBreakBefore w:val="0"/>
              <w:widowControl w:val="0"/>
              <w:kinsoku/>
              <w:wordWrap/>
              <w:overflowPunct/>
              <w:topLinePunct w:val="0"/>
              <w:autoSpaceDE/>
              <w:autoSpaceDN/>
              <w:bidi w:val="0"/>
              <w:adjustRightInd w:val="0"/>
              <w:snapToGrid w:val="0"/>
              <w:spacing w:before="0" w:line="3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满足招标文件要求且投标价格最低的投标报价为评标基准价，其价格分为满分。其他投标人的价格分统一按照下列公式计算：</w:t>
            </w:r>
          </w:p>
          <w:p w14:paraId="07B3A6A0">
            <w:pPr>
              <w:pStyle w:val="2"/>
              <w:keepNext w:val="0"/>
              <w:keepLines w:val="0"/>
              <w:pageBreakBefore w:val="0"/>
              <w:widowControl w:val="0"/>
              <w:kinsoku/>
              <w:wordWrap/>
              <w:overflowPunct/>
              <w:topLinePunct w:val="0"/>
              <w:autoSpaceDE/>
              <w:autoSpaceDN/>
              <w:bidi w:val="0"/>
              <w:adjustRightInd w:val="0"/>
              <w:snapToGrid w:val="0"/>
              <w:spacing w:before="0" w:line="3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投标报价得分＝（评标基准价/投标报价）×10。</w:t>
            </w:r>
          </w:p>
          <w:p w14:paraId="09A10D27">
            <w:pPr>
              <w:pStyle w:val="2"/>
              <w:keepNext w:val="0"/>
              <w:keepLines w:val="0"/>
              <w:pageBreakBefore w:val="0"/>
              <w:widowControl w:val="0"/>
              <w:kinsoku/>
              <w:wordWrap/>
              <w:overflowPunct/>
              <w:topLinePunct w:val="0"/>
              <w:autoSpaceDE/>
              <w:autoSpaceDN/>
              <w:bidi w:val="0"/>
              <w:adjustRightInd w:val="0"/>
              <w:snapToGrid w:val="0"/>
              <w:spacing w:before="0"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sz w:val="21"/>
                <w:szCs w:val="21"/>
              </w:rPr>
              <w:t>注：此处投标报价指经过报价修正，及因落实政府采购政策进行价格调整后的报价，详见第四章《评标方法和评标标准》2.4及2.5。</w:t>
            </w:r>
          </w:p>
        </w:tc>
      </w:tr>
      <w:tr w14:paraId="2A97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0528" w:type="dxa"/>
            <w:gridSpan w:val="5"/>
            <w:tcBorders>
              <w:left w:val="single" w:color="auto" w:sz="4" w:space="0"/>
              <w:right w:val="single" w:color="auto" w:sz="4" w:space="0"/>
            </w:tcBorders>
            <w:noWrap w:val="0"/>
            <w:vAlign w:val="center"/>
          </w:tcPr>
          <w:p w14:paraId="232C82EF">
            <w:pPr>
              <w:keepNext w:val="0"/>
              <w:keepLines w:val="0"/>
              <w:pageBreakBefore w:val="0"/>
              <w:widowControl/>
              <w:kinsoku/>
              <w:wordWrap/>
              <w:overflowPunct/>
              <w:topLinePunct w:val="0"/>
              <w:autoSpaceDE/>
              <w:autoSpaceDN/>
              <w:bidi w:val="0"/>
              <w:spacing w:line="380" w:lineRule="exact"/>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75F45DDB">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Times New Roman" w:hAnsi="Times New Roman" w:eastAsia="宋体" w:cs="Times New Roman"/>
          <w:b/>
          <w:bCs/>
          <w:color w:val="auto"/>
          <w:sz w:val="24"/>
          <w:szCs w:val="24"/>
          <w:highlight w:val="none"/>
        </w:rPr>
      </w:pPr>
    </w:p>
    <w:p w14:paraId="62EAF7A7">
      <w:pP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p>
    <w:p w14:paraId="0B95A533">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w:t>
      </w:r>
      <w:r>
        <w:rPr>
          <w:rFonts w:hint="eastAsia" w:ascii="Times New Roman" w:hAnsi="Times New Roman" w:eastAsia="宋体"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rPr>
        <w:t>包：民政榜样宣传教育活动</w:t>
      </w:r>
    </w:p>
    <w:tbl>
      <w:tblPr>
        <w:tblStyle w:val="7"/>
        <w:tblW w:w="5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091"/>
        <w:gridCol w:w="1140"/>
        <w:gridCol w:w="603"/>
        <w:gridCol w:w="7271"/>
      </w:tblGrid>
      <w:tr w14:paraId="25AC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tcBorders>
              <w:top w:val="single" w:color="auto" w:sz="4" w:space="0"/>
              <w:left w:val="single" w:color="auto" w:sz="4" w:space="0"/>
              <w:right w:val="single" w:color="auto" w:sz="4" w:space="0"/>
            </w:tcBorders>
            <w:noWrap w:val="0"/>
            <w:vAlign w:val="center"/>
          </w:tcPr>
          <w:p w14:paraId="5F5BF58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1116" w:type="dxa"/>
            <w:tcBorders>
              <w:top w:val="single" w:color="auto" w:sz="4" w:space="0"/>
              <w:left w:val="single" w:color="auto" w:sz="4" w:space="0"/>
              <w:right w:val="single" w:color="auto" w:sz="4" w:space="0"/>
            </w:tcBorders>
            <w:noWrap w:val="0"/>
            <w:vAlign w:val="center"/>
          </w:tcPr>
          <w:p w14:paraId="7CB00EA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9217" w:type="dxa"/>
            <w:gridSpan w:val="3"/>
            <w:tcBorders>
              <w:top w:val="single" w:color="auto" w:sz="4" w:space="0"/>
              <w:left w:val="single" w:color="auto" w:sz="4" w:space="0"/>
              <w:right w:val="single" w:color="auto" w:sz="4" w:space="0"/>
            </w:tcBorders>
            <w:noWrap w:val="0"/>
            <w:vAlign w:val="center"/>
          </w:tcPr>
          <w:p w14:paraId="28502338">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1399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tcBorders>
              <w:top w:val="single" w:color="auto" w:sz="4" w:space="0"/>
              <w:left w:val="single" w:color="auto" w:sz="4" w:space="0"/>
              <w:right w:val="single" w:color="auto" w:sz="4" w:space="0"/>
            </w:tcBorders>
            <w:noWrap w:val="0"/>
            <w:vAlign w:val="center"/>
          </w:tcPr>
          <w:p w14:paraId="5A69FB4F">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16" w:type="dxa"/>
            <w:tcBorders>
              <w:top w:val="single" w:color="auto" w:sz="4" w:space="0"/>
              <w:left w:val="single" w:color="auto" w:sz="4" w:space="0"/>
              <w:right w:val="single" w:color="auto" w:sz="4" w:space="0"/>
            </w:tcBorders>
            <w:noWrap w:val="0"/>
            <w:vAlign w:val="center"/>
          </w:tcPr>
          <w:p w14:paraId="2B907237">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6F6556E1">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1166" w:type="dxa"/>
            <w:tcBorders>
              <w:top w:val="single" w:color="auto" w:sz="4" w:space="0"/>
              <w:left w:val="single" w:color="auto" w:sz="4" w:space="0"/>
              <w:right w:val="single" w:color="auto" w:sz="4" w:space="0"/>
            </w:tcBorders>
            <w:noWrap w:val="0"/>
            <w:vAlign w:val="center"/>
          </w:tcPr>
          <w:p w14:paraId="70F11137">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617" w:type="dxa"/>
            <w:tcBorders>
              <w:top w:val="single" w:color="auto" w:sz="4" w:space="0"/>
              <w:left w:val="single" w:color="auto" w:sz="4" w:space="0"/>
              <w:right w:val="single" w:color="auto" w:sz="4" w:space="0"/>
            </w:tcBorders>
            <w:noWrap w:val="0"/>
            <w:vAlign w:val="center"/>
          </w:tcPr>
          <w:p w14:paraId="6B2D6A45">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7434" w:type="dxa"/>
            <w:tcBorders>
              <w:top w:val="single" w:color="auto" w:sz="4" w:space="0"/>
              <w:left w:val="single" w:color="auto" w:sz="4" w:space="0"/>
              <w:right w:val="single" w:color="auto" w:sz="4" w:space="0"/>
            </w:tcBorders>
            <w:noWrap w:val="0"/>
            <w:vAlign w:val="center"/>
          </w:tcPr>
          <w:p w14:paraId="055F839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color w:val="auto"/>
                <w:sz w:val="21"/>
                <w:szCs w:val="21"/>
                <w:highlight w:val="none"/>
              </w:rPr>
              <w:t>综合考虑供应商自202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年1月1日（以合同生效时间为准）起至今完成的类似活动项目的业绩，每个业绩得2分，该项最高得10分（须提供包含合同关键内容页、金额页、签字盖章页在内的合同复印件并加盖供应商公章）。</w:t>
            </w:r>
          </w:p>
        </w:tc>
      </w:tr>
      <w:tr w14:paraId="26E5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restart"/>
            <w:tcBorders>
              <w:left w:val="single" w:color="auto" w:sz="4" w:space="0"/>
              <w:right w:val="single" w:color="auto" w:sz="4" w:space="0"/>
            </w:tcBorders>
            <w:noWrap w:val="0"/>
            <w:vAlign w:val="center"/>
          </w:tcPr>
          <w:p w14:paraId="5ABD8488">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16" w:type="dxa"/>
            <w:vMerge w:val="restart"/>
            <w:tcBorders>
              <w:left w:val="single" w:color="auto" w:sz="4" w:space="0"/>
              <w:right w:val="single" w:color="auto" w:sz="4" w:space="0"/>
            </w:tcBorders>
            <w:noWrap w:val="0"/>
            <w:vAlign w:val="center"/>
          </w:tcPr>
          <w:p w14:paraId="2C735F3F">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w:t>
            </w:r>
          </w:p>
          <w:p w14:paraId="092F02EC">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（80分）</w:t>
            </w:r>
          </w:p>
        </w:tc>
        <w:tc>
          <w:tcPr>
            <w:tcW w:w="1166" w:type="dxa"/>
            <w:tcBorders>
              <w:top w:val="single" w:color="auto" w:sz="4" w:space="0"/>
              <w:left w:val="single" w:color="auto" w:sz="4" w:space="0"/>
              <w:right w:val="single" w:color="auto" w:sz="4" w:space="0"/>
            </w:tcBorders>
            <w:noWrap w:val="0"/>
            <w:vAlign w:val="center"/>
          </w:tcPr>
          <w:p w14:paraId="7ED4C22F">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617" w:type="dxa"/>
            <w:tcBorders>
              <w:top w:val="single" w:color="auto" w:sz="4" w:space="0"/>
              <w:left w:val="single" w:color="auto" w:sz="4" w:space="0"/>
              <w:right w:val="single" w:color="auto" w:sz="4" w:space="0"/>
            </w:tcBorders>
            <w:noWrap w:val="0"/>
            <w:vAlign w:val="center"/>
          </w:tcPr>
          <w:p w14:paraId="70528069">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分</w:t>
            </w:r>
          </w:p>
        </w:tc>
        <w:tc>
          <w:tcPr>
            <w:tcW w:w="7434" w:type="dxa"/>
            <w:tcBorders>
              <w:top w:val="single" w:color="auto" w:sz="4" w:space="0"/>
              <w:left w:val="single" w:color="auto" w:sz="4" w:space="0"/>
              <w:right w:val="single" w:color="auto" w:sz="4" w:space="0"/>
            </w:tcBorders>
            <w:noWrap w:val="0"/>
            <w:vAlign w:val="center"/>
          </w:tcPr>
          <w:p w14:paraId="7AFF488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针对采购需求所提供的</w:t>
            </w:r>
            <w:r>
              <w:rPr>
                <w:rFonts w:hint="default" w:ascii="Times New Roman" w:hAnsi="Times New Roman" w:eastAsia="宋体" w:cs="Times New Roman"/>
                <w:b/>
                <w:color w:val="auto"/>
                <w:kern w:val="0"/>
                <w:sz w:val="21"/>
                <w:szCs w:val="21"/>
                <w:highlight w:val="none"/>
              </w:rPr>
              <w:t>项目分析</w:t>
            </w:r>
            <w:r>
              <w:rPr>
                <w:rFonts w:hint="default" w:ascii="Times New Roman" w:hAnsi="Times New Roman" w:eastAsia="宋体" w:cs="Times New Roman"/>
                <w:color w:val="auto"/>
                <w:kern w:val="0"/>
                <w:sz w:val="21"/>
                <w:szCs w:val="21"/>
                <w:highlight w:val="none"/>
              </w:rPr>
              <w:t>，项目分析包括但不限于</w:t>
            </w:r>
            <w:r>
              <w:rPr>
                <w:rFonts w:hint="default" w:ascii="Times New Roman" w:hAnsi="Times New Roman" w:eastAsia="宋体" w:cs="Times New Roman"/>
                <w:b/>
                <w:color w:val="auto"/>
                <w:kern w:val="0"/>
                <w:sz w:val="21"/>
                <w:szCs w:val="21"/>
                <w:highlight w:val="none"/>
              </w:rPr>
              <w:t>项目背景</w:t>
            </w:r>
            <w:r>
              <w:rPr>
                <w:rFonts w:hint="default" w:ascii="Times New Roman" w:hAnsi="Times New Roman" w:eastAsia="宋体" w:cs="Times New Roman"/>
                <w:color w:val="auto"/>
                <w:kern w:val="0"/>
                <w:sz w:val="21"/>
                <w:szCs w:val="21"/>
                <w:highlight w:val="none"/>
              </w:rPr>
              <w:t>及</w:t>
            </w:r>
            <w:r>
              <w:rPr>
                <w:rFonts w:hint="default" w:ascii="Times New Roman" w:hAnsi="Times New Roman" w:eastAsia="宋体" w:cs="Times New Roman"/>
                <w:b/>
                <w:color w:val="auto"/>
                <w:kern w:val="0"/>
                <w:sz w:val="21"/>
                <w:szCs w:val="21"/>
                <w:highlight w:val="none"/>
              </w:rPr>
              <w:t>相关主题、项目重难点</w:t>
            </w:r>
            <w:r>
              <w:rPr>
                <w:rFonts w:hint="default" w:ascii="Times New Roman" w:hAnsi="Times New Roman" w:eastAsia="宋体" w:cs="Times New Roman"/>
                <w:color w:val="auto"/>
                <w:kern w:val="0"/>
                <w:sz w:val="21"/>
                <w:szCs w:val="21"/>
                <w:highlight w:val="none"/>
              </w:rPr>
              <w:t>等。</w:t>
            </w:r>
          </w:p>
          <w:p w14:paraId="65B049B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项目分析具有针对性、熟悉项目主题、对项目主旨理解深入、重难点分析全面到位，对民政工作有深入了解：</w:t>
            </w:r>
            <w:r>
              <w:rPr>
                <w:rFonts w:hint="eastAsia" w:ascii="Times New Roman" w:hAnsi="Times New Roman"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分；</w:t>
            </w:r>
          </w:p>
          <w:p w14:paraId="474F7F52">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项目分析针对性较强、对项目主题了解较深入、重难点分析较全面，对民政工作有一定的了解：</w:t>
            </w: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分；</w:t>
            </w:r>
          </w:p>
          <w:p w14:paraId="5F9DA8D9">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项目分析针对性一般、对项目主题了解一般、重难点分析一般，对民政工作有一般性了解：</w:t>
            </w:r>
            <w:r>
              <w:rPr>
                <w:rFonts w:hint="eastAsia" w:ascii="Times New Roman" w:hAnsi="Times New Roman" w:cs="Times New Roman"/>
                <w:color w:val="auto"/>
                <w:kern w:val="0"/>
                <w:sz w:val="21"/>
                <w:szCs w:val="21"/>
                <w:highlight w:val="none"/>
                <w:lang w:val="en-US" w:eastAsia="zh-CN"/>
              </w:rPr>
              <w:t>3</w:t>
            </w:r>
            <w:r>
              <w:rPr>
                <w:rFonts w:hint="default" w:ascii="Times New Roman" w:hAnsi="Times New Roman" w:eastAsia="宋体" w:cs="Times New Roman"/>
                <w:color w:val="auto"/>
                <w:kern w:val="0"/>
                <w:sz w:val="21"/>
                <w:szCs w:val="21"/>
                <w:highlight w:val="none"/>
              </w:rPr>
              <w:t>分；</w:t>
            </w:r>
          </w:p>
          <w:p w14:paraId="3B74989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项目分析针对性较差、对项目主题了解较少、重难点分析较差，对民政工作的了解及认识有欠缺：</w:t>
            </w:r>
            <w:r>
              <w:rPr>
                <w:rFonts w:hint="eastAsia"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分；</w:t>
            </w:r>
          </w:p>
          <w:p w14:paraId="7FFBDE8E">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项目分析针对性差、未理解项目主题、无重难点分析：</w:t>
            </w:r>
            <w:r>
              <w:rPr>
                <w:rFonts w:hint="eastAsia" w:ascii="Times New Roman" w:hAnsi="Times New Roman"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rPr>
              <w:t>分；</w:t>
            </w:r>
          </w:p>
          <w:p w14:paraId="59391936">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00BB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1289E864">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67847C6E">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restart"/>
            <w:tcBorders>
              <w:top w:val="single" w:color="auto" w:sz="4" w:space="0"/>
              <w:left w:val="single" w:color="auto" w:sz="4" w:space="0"/>
              <w:right w:val="single" w:color="auto" w:sz="4" w:space="0"/>
            </w:tcBorders>
            <w:noWrap w:val="0"/>
            <w:vAlign w:val="center"/>
          </w:tcPr>
          <w:p w14:paraId="423909B8">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评选方案（10分）</w:t>
            </w:r>
          </w:p>
        </w:tc>
        <w:tc>
          <w:tcPr>
            <w:tcW w:w="617" w:type="dxa"/>
            <w:tcBorders>
              <w:top w:val="single" w:color="auto" w:sz="4" w:space="0"/>
              <w:left w:val="single" w:color="auto" w:sz="4" w:space="0"/>
              <w:right w:val="single" w:color="auto" w:sz="4" w:space="0"/>
            </w:tcBorders>
            <w:noWrap w:val="0"/>
            <w:vAlign w:val="center"/>
          </w:tcPr>
          <w:p w14:paraId="23196BFB">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7434" w:type="dxa"/>
            <w:tcBorders>
              <w:top w:val="single" w:color="auto" w:sz="4" w:space="0"/>
              <w:left w:val="single" w:color="auto" w:sz="4" w:space="0"/>
              <w:right w:val="single" w:color="auto" w:sz="4" w:space="0"/>
            </w:tcBorders>
            <w:noWrap w:val="0"/>
            <w:vAlign w:val="center"/>
          </w:tcPr>
          <w:p w14:paraId="03CAE23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提供的</w:t>
            </w:r>
            <w:r>
              <w:rPr>
                <w:rFonts w:hint="default" w:ascii="Times New Roman" w:hAnsi="Times New Roman" w:eastAsia="宋体" w:cs="Times New Roman"/>
                <w:b/>
                <w:bCs/>
                <w:color w:val="auto"/>
                <w:kern w:val="0"/>
                <w:sz w:val="21"/>
                <w:szCs w:val="21"/>
                <w:highlight w:val="none"/>
              </w:rPr>
              <w:t>评选</w:t>
            </w:r>
            <w:r>
              <w:rPr>
                <w:rFonts w:hint="default" w:ascii="Times New Roman" w:hAnsi="Times New Roman" w:eastAsia="宋体" w:cs="Times New Roman"/>
                <w:b/>
                <w:bCs/>
                <w:color w:val="auto"/>
                <w:sz w:val="21"/>
                <w:szCs w:val="21"/>
                <w:highlight w:val="none"/>
              </w:rPr>
              <w:t>方案</w:t>
            </w:r>
            <w:r>
              <w:rPr>
                <w:rFonts w:hint="default" w:ascii="Times New Roman" w:hAnsi="Times New Roman" w:eastAsia="宋体" w:cs="Times New Roman"/>
                <w:color w:val="auto"/>
                <w:kern w:val="0"/>
                <w:sz w:val="21"/>
                <w:szCs w:val="21"/>
                <w:highlight w:val="none"/>
              </w:rPr>
              <w:t>，对采购需求的响应程度。</w:t>
            </w:r>
          </w:p>
          <w:p w14:paraId="1D03861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方案完整度高、活动策划新颖，会议筹备得当、经验丰富，媒体推广方案针对性强，完全满足采购需求：7分；</w:t>
            </w:r>
          </w:p>
          <w:p w14:paraId="3309845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方案完整度较高、活动策划较新颖，会议筹备方案合理、有一定针对性，媒体推广方案针对性较强，可以满足采购需求：5分；</w:t>
            </w:r>
          </w:p>
          <w:p w14:paraId="340A976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方案基本完整、活动策划方案普通，会议筹备能力一般，媒体推广方案思路平常、通用，基本满足采购需求：3分；</w:t>
            </w:r>
          </w:p>
          <w:p w14:paraId="41F04554">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方案完整度欠佳、活动策划能力较弱，会议筹备能力欠佳，媒体推广方式单调，勉强满足采购需求：1分；</w:t>
            </w:r>
          </w:p>
          <w:p w14:paraId="6141CE8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方案有严重缺漏或未提供任何方案：0分。</w:t>
            </w:r>
          </w:p>
        </w:tc>
      </w:tr>
      <w:tr w14:paraId="31FB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5BE4BBB3">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6428333D">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left w:val="single" w:color="auto" w:sz="4" w:space="0"/>
              <w:right w:val="single" w:color="auto" w:sz="4" w:space="0"/>
            </w:tcBorders>
            <w:noWrap w:val="0"/>
            <w:vAlign w:val="center"/>
          </w:tcPr>
          <w:p w14:paraId="34E6CCCD">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7D3E4479">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3分</w:t>
            </w:r>
          </w:p>
        </w:tc>
        <w:tc>
          <w:tcPr>
            <w:tcW w:w="7434" w:type="dxa"/>
            <w:tcBorders>
              <w:top w:val="single" w:color="auto" w:sz="4" w:space="0"/>
              <w:left w:val="single" w:color="auto" w:sz="4" w:space="0"/>
              <w:right w:val="single" w:color="auto" w:sz="4" w:space="0"/>
            </w:tcBorders>
            <w:noWrap w:val="0"/>
            <w:vAlign w:val="center"/>
          </w:tcPr>
          <w:p w14:paraId="282E62B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考察供应商提供的</w:t>
            </w:r>
            <w:r>
              <w:rPr>
                <w:rFonts w:hint="default" w:ascii="Times New Roman" w:hAnsi="Times New Roman" w:eastAsia="宋体" w:cs="Times New Roman"/>
                <w:color w:val="auto"/>
                <w:sz w:val="21"/>
                <w:szCs w:val="21"/>
                <w:highlight w:val="none"/>
              </w:rPr>
              <w:t>嘉宾邀请方案</w:t>
            </w:r>
            <w:r>
              <w:rPr>
                <w:rFonts w:hint="default" w:ascii="Times New Roman" w:hAnsi="Times New Roman" w:eastAsia="宋体" w:cs="Times New Roman"/>
                <w:color w:val="auto"/>
                <w:kern w:val="0"/>
                <w:sz w:val="21"/>
                <w:szCs w:val="21"/>
                <w:highlight w:val="none"/>
              </w:rPr>
              <w:t>对采购需求的响应程度</w:t>
            </w:r>
            <w:r>
              <w:rPr>
                <w:rFonts w:hint="default" w:ascii="Times New Roman" w:hAnsi="Times New Roman" w:eastAsia="宋体" w:cs="Times New Roman"/>
                <w:color w:val="auto"/>
                <w:sz w:val="21"/>
                <w:szCs w:val="21"/>
                <w:highlight w:val="none"/>
              </w:rPr>
              <w:t>。</w:t>
            </w:r>
          </w:p>
          <w:p w14:paraId="69B2860B">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方案全面合理、描述详细，邀请人员完全满足采购要求，可执行性强：3分；</w:t>
            </w:r>
          </w:p>
          <w:p w14:paraId="6B8783BB">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方案描述较全面较合理，邀请人员能够满足采购要求，具有一定的可执行性：2分；</w:t>
            </w:r>
          </w:p>
          <w:p w14:paraId="1EAE0BF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方案不完整、内容缺失或邀请人员不能完全满足采购要求：1分；</w:t>
            </w:r>
          </w:p>
          <w:p w14:paraId="1F9A9006">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未提供该方案或邀请名单的：0分。</w:t>
            </w:r>
          </w:p>
        </w:tc>
      </w:tr>
      <w:tr w14:paraId="441C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0E94EF7F">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19C7EAE6">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restart"/>
            <w:tcBorders>
              <w:left w:val="single" w:color="auto" w:sz="4" w:space="0"/>
              <w:right w:val="single" w:color="auto" w:sz="4" w:space="0"/>
            </w:tcBorders>
            <w:noWrap w:val="0"/>
            <w:vAlign w:val="center"/>
          </w:tcPr>
          <w:p w14:paraId="2C6C9D25">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宣传片拍摄制作方案</w:t>
            </w:r>
          </w:p>
          <w:p w14:paraId="3DD47042">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（14分）</w:t>
            </w:r>
          </w:p>
        </w:tc>
        <w:tc>
          <w:tcPr>
            <w:tcW w:w="617" w:type="dxa"/>
            <w:tcBorders>
              <w:top w:val="single" w:color="auto" w:sz="4" w:space="0"/>
              <w:left w:val="single" w:color="auto" w:sz="4" w:space="0"/>
              <w:right w:val="single" w:color="auto" w:sz="4" w:space="0"/>
            </w:tcBorders>
            <w:noWrap w:val="0"/>
            <w:vAlign w:val="center"/>
          </w:tcPr>
          <w:p w14:paraId="1FE4D088">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7434" w:type="dxa"/>
            <w:tcBorders>
              <w:top w:val="single" w:color="auto" w:sz="4" w:space="0"/>
              <w:left w:val="single" w:color="auto" w:sz="4" w:space="0"/>
              <w:right w:val="single" w:color="auto" w:sz="4" w:space="0"/>
            </w:tcBorders>
            <w:noWrap w:val="0"/>
            <w:vAlign w:val="center"/>
          </w:tcPr>
          <w:p w14:paraId="61C455C7">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提供的</w:t>
            </w:r>
            <w:r>
              <w:rPr>
                <w:rFonts w:hint="default" w:ascii="Times New Roman" w:hAnsi="Times New Roman" w:eastAsia="宋体" w:cs="Times New Roman"/>
                <w:b/>
                <w:bCs/>
                <w:color w:val="auto"/>
                <w:kern w:val="0"/>
                <w:sz w:val="21"/>
                <w:szCs w:val="21"/>
                <w:highlight w:val="none"/>
              </w:rPr>
              <w:t>宣传片拍摄</w:t>
            </w:r>
            <w:r>
              <w:rPr>
                <w:rFonts w:hint="default" w:ascii="Times New Roman" w:hAnsi="Times New Roman" w:eastAsia="宋体" w:cs="Times New Roman"/>
                <w:color w:val="auto"/>
                <w:kern w:val="0"/>
                <w:sz w:val="21"/>
                <w:szCs w:val="21"/>
                <w:highlight w:val="none"/>
              </w:rPr>
              <w:t>方案，对采购需求的响应程度。</w:t>
            </w:r>
          </w:p>
          <w:p w14:paraId="02D3BE0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方案完整度高、活动策划新颖、拍摄工作流程极清晰、拍摄方式多样、拍摄思路清晰，完全满足采购需求：7分；</w:t>
            </w:r>
          </w:p>
          <w:p w14:paraId="0385D24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方案完整度较高、活动策划有针对性、拍摄工作流程清晰、拍摄方式样式较多、具有拍摄思路，可以满足采购需求：5分；</w:t>
            </w:r>
          </w:p>
          <w:p w14:paraId="2D8D27AD">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方案基本完整、活动策划能力一般、具有拍摄工作流程但不清晰、拍摄方式及拍摄思路单调，基本满足采购需求：3分；</w:t>
            </w:r>
          </w:p>
          <w:p w14:paraId="4FFAE224">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方案完整度欠佳、活动策划能力较弱、拍摄工作流程混乱、拍摄方式少、拍摄思路不清晰，勉强满足采购需求：1分；</w:t>
            </w:r>
          </w:p>
          <w:p w14:paraId="0188A2E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方案有严重缺漏或未提供任何方案：0分。</w:t>
            </w:r>
          </w:p>
        </w:tc>
      </w:tr>
      <w:tr w14:paraId="6290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544D5359">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547B8D7B">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left w:val="single" w:color="auto" w:sz="4" w:space="0"/>
              <w:right w:val="single" w:color="auto" w:sz="4" w:space="0"/>
            </w:tcBorders>
            <w:noWrap w:val="0"/>
            <w:vAlign w:val="center"/>
          </w:tcPr>
          <w:p w14:paraId="7539DFA0">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07730076">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7434" w:type="dxa"/>
            <w:tcBorders>
              <w:top w:val="single" w:color="auto" w:sz="4" w:space="0"/>
              <w:left w:val="single" w:color="auto" w:sz="4" w:space="0"/>
              <w:right w:val="single" w:color="auto" w:sz="4" w:space="0"/>
            </w:tcBorders>
            <w:noWrap w:val="0"/>
            <w:vAlign w:val="center"/>
          </w:tcPr>
          <w:p w14:paraId="0E79A3C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提供的</w:t>
            </w:r>
            <w:r>
              <w:rPr>
                <w:rFonts w:hint="default" w:ascii="Times New Roman" w:hAnsi="Times New Roman" w:eastAsia="宋体" w:cs="Times New Roman"/>
                <w:b/>
                <w:bCs/>
                <w:color w:val="auto"/>
                <w:kern w:val="0"/>
                <w:sz w:val="21"/>
                <w:szCs w:val="21"/>
                <w:highlight w:val="none"/>
              </w:rPr>
              <w:t>宣传片制作</w:t>
            </w:r>
            <w:r>
              <w:rPr>
                <w:rFonts w:hint="default" w:ascii="Times New Roman" w:hAnsi="Times New Roman" w:eastAsia="宋体" w:cs="Times New Roman"/>
                <w:color w:val="auto"/>
                <w:kern w:val="0"/>
                <w:sz w:val="21"/>
                <w:szCs w:val="21"/>
                <w:highlight w:val="none"/>
              </w:rPr>
              <w:t>方案，对采购需求的响应程度。</w:t>
            </w:r>
          </w:p>
          <w:p w14:paraId="5BA16BD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方案完整度高、制作流程明确、手法多样、视觉观赏性好，高度符合项目需要，完全满足采购需求：7分；</w:t>
            </w:r>
          </w:p>
          <w:p w14:paraId="6A8A9E6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方案完整、制作流程基本清晰、手法较多、具有一定视觉观赏性，符合项目需要，可以满足采购需求：5分；</w:t>
            </w:r>
          </w:p>
          <w:p w14:paraId="1DDB6DB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方案基本完整、制作流程及手法普通、视觉观赏性欠佳，基本符合项目需要，基本满足采购需求：3分；</w:t>
            </w:r>
          </w:p>
          <w:p w14:paraId="2C9428F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方案完整度欠佳、制作流程及手法不完善、缺少视觉观赏性，勉强符合项目需要，勉强满足采购需求：1分；</w:t>
            </w:r>
          </w:p>
          <w:p w14:paraId="2E234DF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方案有严重缺漏或未提供任何方案：0分。</w:t>
            </w:r>
          </w:p>
        </w:tc>
      </w:tr>
      <w:tr w14:paraId="7BC9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3204A9CA">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21DEC440">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restart"/>
            <w:tcBorders>
              <w:left w:val="single" w:color="auto" w:sz="4" w:space="0"/>
              <w:right w:val="single" w:color="auto" w:sz="4" w:space="0"/>
            </w:tcBorders>
            <w:noWrap w:val="0"/>
            <w:vAlign w:val="center"/>
          </w:tcPr>
          <w:p w14:paraId="5EDDAB40">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现场活动方案</w:t>
            </w:r>
          </w:p>
          <w:p w14:paraId="39A8D781">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分）</w:t>
            </w:r>
          </w:p>
        </w:tc>
        <w:tc>
          <w:tcPr>
            <w:tcW w:w="617" w:type="dxa"/>
            <w:tcBorders>
              <w:top w:val="single" w:color="auto" w:sz="4" w:space="0"/>
              <w:left w:val="single" w:color="auto" w:sz="4" w:space="0"/>
              <w:right w:val="single" w:color="auto" w:sz="4" w:space="0"/>
            </w:tcBorders>
            <w:noWrap w:val="0"/>
            <w:vAlign w:val="center"/>
          </w:tcPr>
          <w:p w14:paraId="1444B2B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rPr>
              <w:t>分</w:t>
            </w:r>
          </w:p>
        </w:tc>
        <w:tc>
          <w:tcPr>
            <w:tcW w:w="7434" w:type="dxa"/>
            <w:tcBorders>
              <w:top w:val="single" w:color="auto" w:sz="4" w:space="0"/>
              <w:left w:val="single" w:color="auto" w:sz="4" w:space="0"/>
              <w:right w:val="single" w:color="auto" w:sz="4" w:space="0"/>
            </w:tcBorders>
            <w:noWrap w:val="0"/>
            <w:vAlign w:val="center"/>
          </w:tcPr>
          <w:p w14:paraId="6AAC7A5F">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综合考虑供应商提供的</w:t>
            </w:r>
            <w:r>
              <w:rPr>
                <w:rFonts w:hint="default" w:ascii="Times New Roman" w:hAnsi="Times New Roman" w:eastAsia="宋体" w:cs="Times New Roman"/>
                <w:b/>
                <w:bCs/>
                <w:color w:val="auto"/>
                <w:sz w:val="21"/>
                <w:szCs w:val="21"/>
                <w:highlight w:val="none"/>
              </w:rPr>
              <w:t>现场活动</w:t>
            </w:r>
            <w:r>
              <w:rPr>
                <w:rFonts w:hint="default" w:ascii="Times New Roman" w:hAnsi="Times New Roman" w:eastAsia="宋体" w:cs="Times New Roman"/>
                <w:b/>
                <w:bCs/>
                <w:color w:val="auto"/>
                <w:kern w:val="0"/>
                <w:sz w:val="21"/>
                <w:szCs w:val="21"/>
                <w:highlight w:val="none"/>
              </w:rPr>
              <w:t>方案</w:t>
            </w:r>
            <w:r>
              <w:rPr>
                <w:rFonts w:hint="default" w:ascii="Times New Roman" w:hAnsi="Times New Roman" w:eastAsia="宋体" w:cs="Times New Roman"/>
                <w:color w:val="auto"/>
                <w:kern w:val="0"/>
                <w:sz w:val="21"/>
                <w:szCs w:val="21"/>
                <w:highlight w:val="none"/>
              </w:rPr>
              <w:t>，对采购需求的响应程度。</w:t>
            </w:r>
          </w:p>
          <w:p w14:paraId="36BBE12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提出的方案内容齐全、结构完整、表述准确、条理清晰，体现了丰富的同类活动组织经验，完全满足项目需要；同时具备前瞻性、科学性、合理性、可操作性，得</w:t>
            </w:r>
            <w:r>
              <w:rPr>
                <w:rFonts w:hint="eastAsia" w:ascii="Times New Roman" w:hAnsi="Times New Roman" w:cs="Times New Roman"/>
                <w:color w:val="auto"/>
                <w:kern w:val="0"/>
                <w:sz w:val="21"/>
                <w:szCs w:val="21"/>
                <w:highlight w:val="none"/>
                <w:lang w:val="en-US" w:eastAsia="zh-CN"/>
              </w:rPr>
              <w:t>9</w:t>
            </w:r>
            <w:r>
              <w:rPr>
                <w:rFonts w:hint="default" w:ascii="Times New Roman" w:hAnsi="Times New Roman" w:eastAsia="宋体" w:cs="Times New Roman"/>
                <w:color w:val="auto"/>
                <w:kern w:val="0"/>
                <w:sz w:val="21"/>
                <w:szCs w:val="21"/>
                <w:highlight w:val="none"/>
              </w:rPr>
              <w:t>分；</w:t>
            </w:r>
          </w:p>
          <w:p w14:paraId="2828B35B">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提出的方案内容齐全、结构合理、理解准确，经验较丰富，满足项目需要；同时具备较强的科学性、合理性、可操作性，得</w:t>
            </w:r>
            <w:r>
              <w:rPr>
                <w:rFonts w:hint="eastAsia" w:ascii="Times New Roman" w:hAnsi="Times New Roman" w:cs="Times New Roman"/>
                <w:color w:val="auto"/>
                <w:kern w:val="0"/>
                <w:sz w:val="21"/>
                <w:szCs w:val="21"/>
                <w:highlight w:val="none"/>
                <w:lang w:val="en-US" w:eastAsia="zh-CN"/>
              </w:rPr>
              <w:t>7</w:t>
            </w:r>
            <w:r>
              <w:rPr>
                <w:rFonts w:hint="default" w:ascii="Times New Roman" w:hAnsi="Times New Roman" w:eastAsia="宋体" w:cs="Times New Roman"/>
                <w:color w:val="auto"/>
                <w:kern w:val="0"/>
                <w:sz w:val="21"/>
                <w:szCs w:val="21"/>
                <w:highlight w:val="none"/>
              </w:rPr>
              <w:t>分；</w:t>
            </w:r>
          </w:p>
          <w:p w14:paraId="50714AFF">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提出的方案内容平常、通用，能体现一定经验，基本满足项目需要；具备一定的科学合理性及可操作性，得</w:t>
            </w:r>
            <w:r>
              <w:rPr>
                <w:rFonts w:hint="eastAsia" w:ascii="Times New Roman" w:hAnsi="Times New Roman" w:cs="Times New Roman"/>
                <w:color w:val="auto"/>
                <w:kern w:val="0"/>
                <w:sz w:val="21"/>
                <w:szCs w:val="21"/>
                <w:highlight w:val="none"/>
                <w:lang w:val="en-US" w:eastAsia="zh-CN"/>
              </w:rPr>
              <w:t>5</w:t>
            </w:r>
            <w:r>
              <w:rPr>
                <w:rFonts w:hint="default" w:ascii="Times New Roman" w:hAnsi="Times New Roman" w:eastAsia="宋体" w:cs="Times New Roman"/>
                <w:color w:val="auto"/>
                <w:kern w:val="0"/>
                <w:sz w:val="21"/>
                <w:szCs w:val="21"/>
                <w:highlight w:val="none"/>
              </w:rPr>
              <w:t>分；</w:t>
            </w:r>
          </w:p>
          <w:p w14:paraId="295A87C9">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提出的方案内容有遗漏或不完整、结构和条理不够清晰，经验不足，勉强满足项目需要；可操作性和合理性较弱，得3分；</w:t>
            </w:r>
          </w:p>
          <w:p w14:paraId="657963D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提出的方案与本项目实际需要偏差较大，缺乏可操作性和合理性，无法满足项目需要，得1分；</w:t>
            </w:r>
          </w:p>
          <w:p w14:paraId="6D5A11F7">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方案有严重缺漏或未提供该项内容不得分。</w:t>
            </w:r>
          </w:p>
        </w:tc>
      </w:tr>
      <w:tr w14:paraId="5791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57916642">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0F6AEC10">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left w:val="single" w:color="auto" w:sz="4" w:space="0"/>
              <w:right w:val="single" w:color="auto" w:sz="4" w:space="0"/>
            </w:tcBorders>
            <w:noWrap w:val="0"/>
            <w:vAlign w:val="center"/>
          </w:tcPr>
          <w:p w14:paraId="5AAB45E3">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39EA3933">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434" w:type="dxa"/>
            <w:tcBorders>
              <w:top w:val="single" w:color="auto" w:sz="4" w:space="0"/>
              <w:left w:val="single" w:color="auto" w:sz="4" w:space="0"/>
              <w:right w:val="single" w:color="auto" w:sz="4" w:space="0"/>
            </w:tcBorders>
            <w:noWrap w:val="0"/>
            <w:vAlign w:val="center"/>
          </w:tcPr>
          <w:p w14:paraId="5831925B">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综合考虑供应商提供的</w:t>
            </w:r>
            <w:r>
              <w:rPr>
                <w:rFonts w:hint="default" w:ascii="Times New Roman" w:hAnsi="Times New Roman" w:eastAsia="宋体" w:cs="Times New Roman"/>
                <w:b/>
                <w:color w:val="auto"/>
                <w:sz w:val="21"/>
                <w:szCs w:val="21"/>
                <w:highlight w:val="none"/>
              </w:rPr>
              <w:t>后勤保障方案</w:t>
            </w:r>
            <w:r>
              <w:rPr>
                <w:rFonts w:hint="default" w:ascii="Times New Roman" w:hAnsi="Times New Roman" w:eastAsia="宋体" w:cs="Times New Roman"/>
                <w:color w:val="auto"/>
                <w:kern w:val="0"/>
                <w:sz w:val="21"/>
                <w:szCs w:val="21"/>
                <w:highlight w:val="none"/>
              </w:rPr>
              <w:t>，对采购需求的响应程度。</w:t>
            </w:r>
          </w:p>
          <w:p w14:paraId="42C34756">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方案完整度高、保障措施众多且描述详细，沟通协调时效性强，完全满足采购需求：5分；</w:t>
            </w:r>
          </w:p>
          <w:p w14:paraId="6594A77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方案完整度较高、保障措施较多、沟通协调时效性较强，满足采购需求：4分；</w:t>
            </w:r>
          </w:p>
          <w:p w14:paraId="4885460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方案完整度一般、保障措施一般、沟通协调时效性一般，可以满足采购需求：3分；</w:t>
            </w:r>
          </w:p>
          <w:p w14:paraId="102684A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方案完整度有欠缺、保障措施简单、沟通协调时效性较差：2分；</w:t>
            </w:r>
          </w:p>
          <w:p w14:paraId="3FC5AFAD">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方案完整度差、内容缺失较多、保障措施粗略、沟通协调时效性差，无法完全满足采购需求：1分；</w:t>
            </w:r>
          </w:p>
          <w:p w14:paraId="52B9155F">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1741E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3CF17365">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6F3679B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left w:val="single" w:color="auto" w:sz="4" w:space="0"/>
              <w:right w:val="single" w:color="auto" w:sz="4" w:space="0"/>
            </w:tcBorders>
            <w:noWrap w:val="0"/>
            <w:vAlign w:val="center"/>
          </w:tcPr>
          <w:p w14:paraId="1655A3FE">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497D3F9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3分</w:t>
            </w:r>
          </w:p>
        </w:tc>
        <w:tc>
          <w:tcPr>
            <w:tcW w:w="7434" w:type="dxa"/>
            <w:tcBorders>
              <w:top w:val="single" w:color="auto" w:sz="4" w:space="0"/>
              <w:left w:val="single" w:color="auto" w:sz="4" w:space="0"/>
              <w:right w:val="single" w:color="auto" w:sz="4" w:space="0"/>
            </w:tcBorders>
            <w:noWrap w:val="0"/>
            <w:vAlign w:val="center"/>
          </w:tcPr>
          <w:p w14:paraId="7DD0A545">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针对本项目宣传片拍摄制作、现场活动等可提供的</w:t>
            </w:r>
            <w:r>
              <w:rPr>
                <w:rFonts w:hint="default" w:ascii="Times New Roman" w:hAnsi="Times New Roman" w:eastAsia="宋体" w:cs="Times New Roman"/>
                <w:b/>
                <w:color w:val="auto"/>
                <w:kern w:val="0"/>
                <w:sz w:val="21"/>
                <w:szCs w:val="21"/>
                <w:highlight w:val="none"/>
              </w:rPr>
              <w:t>设备情况</w:t>
            </w:r>
            <w:r>
              <w:rPr>
                <w:rFonts w:hint="default" w:ascii="Times New Roman" w:hAnsi="Times New Roman" w:eastAsia="宋体" w:cs="Times New Roman"/>
                <w:color w:val="auto"/>
                <w:kern w:val="0"/>
                <w:sz w:val="21"/>
                <w:szCs w:val="21"/>
                <w:highlight w:val="none"/>
              </w:rPr>
              <w:t>。</w:t>
            </w:r>
          </w:p>
          <w:p w14:paraId="59FC636D">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设备种类准备众多、技术水平先进：3分；</w:t>
            </w:r>
          </w:p>
          <w:p w14:paraId="13E975BB">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设备种类准备较多、技术水平有限：2分；</w:t>
            </w:r>
          </w:p>
          <w:p w14:paraId="697C21A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设备种类准备较少且技术水平不足：1分；</w:t>
            </w:r>
          </w:p>
          <w:p w14:paraId="32559EB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1D35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48A51426">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4743B52F">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3343F8EA">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宣传推广方案</w:t>
            </w:r>
          </w:p>
        </w:tc>
        <w:tc>
          <w:tcPr>
            <w:tcW w:w="617" w:type="dxa"/>
            <w:tcBorders>
              <w:left w:val="single" w:color="auto" w:sz="4" w:space="0"/>
              <w:right w:val="single" w:color="auto" w:sz="4" w:space="0"/>
            </w:tcBorders>
            <w:noWrap w:val="0"/>
            <w:vAlign w:val="center"/>
          </w:tcPr>
          <w:p w14:paraId="28AE5CD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rPr>
              <w:t>分</w:t>
            </w:r>
          </w:p>
        </w:tc>
        <w:tc>
          <w:tcPr>
            <w:tcW w:w="7434" w:type="dxa"/>
            <w:tcBorders>
              <w:top w:val="single" w:color="auto" w:sz="4" w:space="0"/>
              <w:left w:val="single" w:color="auto" w:sz="4" w:space="0"/>
              <w:right w:val="single" w:color="auto" w:sz="4" w:space="0"/>
            </w:tcBorders>
            <w:noWrap w:val="0"/>
            <w:vAlign w:val="center"/>
          </w:tcPr>
          <w:p w14:paraId="07030E0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综合考虑供应商提供的</w:t>
            </w:r>
            <w:r>
              <w:rPr>
                <w:rFonts w:hint="default" w:ascii="Times New Roman" w:hAnsi="Times New Roman" w:eastAsia="宋体" w:cs="Times New Roman"/>
                <w:b/>
                <w:color w:val="auto"/>
                <w:sz w:val="21"/>
                <w:szCs w:val="21"/>
                <w:highlight w:val="none"/>
              </w:rPr>
              <w:t>宣传推广方案</w:t>
            </w:r>
            <w:r>
              <w:rPr>
                <w:rFonts w:hint="default" w:ascii="Times New Roman" w:hAnsi="Times New Roman" w:eastAsia="宋体" w:cs="Times New Roman"/>
                <w:color w:val="auto"/>
                <w:kern w:val="0"/>
                <w:sz w:val="21"/>
                <w:szCs w:val="21"/>
                <w:highlight w:val="none"/>
              </w:rPr>
              <w:t>，对采购需求的响应程度。</w:t>
            </w:r>
          </w:p>
          <w:p w14:paraId="00D33524">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方案完整度高、专业性强、可执行性强，完全契合采购需求，宣传推广渠道广泛、宣传方式丰富：</w:t>
            </w:r>
            <w:r>
              <w:rPr>
                <w:rFonts w:hint="eastAsia" w:ascii="Times New Roman" w:hAnsi="Times New Roman" w:cs="Times New Roman"/>
                <w:color w:val="auto"/>
                <w:kern w:val="0"/>
                <w:sz w:val="21"/>
                <w:szCs w:val="21"/>
                <w:highlight w:val="none"/>
                <w:lang w:val="en-US" w:eastAsia="zh-CN"/>
              </w:rPr>
              <w:t>8</w:t>
            </w:r>
            <w:r>
              <w:rPr>
                <w:rFonts w:hint="default" w:ascii="Times New Roman" w:hAnsi="Times New Roman" w:eastAsia="宋体" w:cs="Times New Roman"/>
                <w:color w:val="auto"/>
                <w:kern w:val="0"/>
                <w:sz w:val="21"/>
                <w:szCs w:val="21"/>
                <w:highlight w:val="none"/>
              </w:rPr>
              <w:t>分；</w:t>
            </w:r>
          </w:p>
          <w:p w14:paraId="27855924">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方案完整度较高、专业性较强、可行性较强，契合采购需求程度较高，宣传推广渠道较广泛：</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eastAsia="宋体" w:cs="Times New Roman"/>
                <w:color w:val="auto"/>
                <w:kern w:val="0"/>
                <w:sz w:val="21"/>
                <w:szCs w:val="21"/>
                <w:highlight w:val="none"/>
              </w:rPr>
              <w:t>分；</w:t>
            </w:r>
          </w:p>
          <w:p w14:paraId="109A9744">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方案完整度一般、有一定专业性及可行性，宣传推广渠道普通，基本契合采购需求：</w:t>
            </w:r>
            <w:r>
              <w:rPr>
                <w:rFonts w:hint="eastAsia" w:ascii="Times New Roman" w:hAnsi="Times New Roman" w:cs="Times New Roman"/>
                <w:color w:val="auto"/>
                <w:kern w:val="0"/>
                <w:sz w:val="21"/>
                <w:szCs w:val="21"/>
                <w:highlight w:val="none"/>
                <w:lang w:val="en-US" w:eastAsia="zh-CN"/>
              </w:rPr>
              <w:t>4</w:t>
            </w:r>
            <w:r>
              <w:rPr>
                <w:rFonts w:hint="default" w:ascii="Times New Roman" w:hAnsi="Times New Roman" w:eastAsia="宋体" w:cs="Times New Roman"/>
                <w:color w:val="auto"/>
                <w:kern w:val="0"/>
                <w:sz w:val="21"/>
                <w:szCs w:val="21"/>
                <w:highlight w:val="none"/>
              </w:rPr>
              <w:t>分；</w:t>
            </w:r>
          </w:p>
          <w:p w14:paraId="5D4C5A7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方案完整度较低、专业性较弱、可行性较弱，推广渠道较贫乏，契合采购需求程度较低：</w:t>
            </w:r>
            <w:r>
              <w:rPr>
                <w:rFonts w:hint="eastAsia" w:ascii="Times New Roman" w:hAnsi="Times New Roman" w:cs="Times New Roman"/>
                <w:color w:val="auto"/>
                <w:kern w:val="0"/>
                <w:sz w:val="21"/>
                <w:szCs w:val="21"/>
                <w:highlight w:val="none"/>
                <w:lang w:val="en-US" w:eastAsia="zh-CN"/>
              </w:rPr>
              <w:t>2</w:t>
            </w:r>
            <w:r>
              <w:rPr>
                <w:rFonts w:hint="default" w:ascii="Times New Roman" w:hAnsi="Times New Roman" w:eastAsia="宋体" w:cs="Times New Roman"/>
                <w:color w:val="auto"/>
                <w:kern w:val="0"/>
                <w:sz w:val="21"/>
                <w:szCs w:val="21"/>
                <w:highlight w:val="none"/>
              </w:rPr>
              <w:t>分；</w:t>
            </w:r>
          </w:p>
          <w:p w14:paraId="380788B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6C6F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1C6940D7">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22D3895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621388FC">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000000"/>
                <w:kern w:val="2"/>
                <w:sz w:val="21"/>
                <w:szCs w:val="21"/>
                <w:highlight w:val="none"/>
                <w:lang w:val="en-US" w:eastAsia="zh-CN" w:bidi="ar-SA"/>
              </w:rPr>
              <w:t>新时代文明实践活动</w:t>
            </w:r>
            <w:r>
              <w:rPr>
                <w:rFonts w:hint="eastAsia" w:ascii="Times New Roman" w:hAnsi="Times New Roman" w:cs="Times New Roman"/>
                <w:color w:val="000000"/>
                <w:kern w:val="2"/>
                <w:sz w:val="21"/>
                <w:szCs w:val="21"/>
                <w:highlight w:val="none"/>
                <w:lang w:val="en-US" w:eastAsia="zh-CN" w:bidi="ar-SA"/>
              </w:rPr>
              <w:t>方案</w:t>
            </w:r>
          </w:p>
        </w:tc>
        <w:tc>
          <w:tcPr>
            <w:tcW w:w="617" w:type="dxa"/>
            <w:tcBorders>
              <w:left w:val="single" w:color="auto" w:sz="4" w:space="0"/>
              <w:right w:val="single" w:color="auto" w:sz="4" w:space="0"/>
            </w:tcBorders>
            <w:noWrap w:val="0"/>
            <w:vAlign w:val="center"/>
          </w:tcPr>
          <w:p w14:paraId="331DB29E">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10分</w:t>
            </w:r>
          </w:p>
        </w:tc>
        <w:tc>
          <w:tcPr>
            <w:tcW w:w="7434" w:type="dxa"/>
            <w:tcBorders>
              <w:top w:val="single" w:color="auto" w:sz="4" w:space="0"/>
              <w:left w:val="single" w:color="auto" w:sz="4" w:space="0"/>
              <w:right w:val="single" w:color="auto" w:sz="4" w:space="0"/>
            </w:tcBorders>
            <w:noWrap w:val="0"/>
            <w:vAlign w:val="center"/>
          </w:tcPr>
          <w:p w14:paraId="0EA9A5F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综合考虑供应商提供的</w:t>
            </w:r>
            <w:r>
              <w:rPr>
                <w:rFonts w:hint="eastAsia" w:ascii="Times New Roman" w:hAnsi="Times New Roman" w:cs="Times New Roman"/>
                <w:b/>
                <w:bCs/>
                <w:color w:val="auto"/>
                <w:sz w:val="21"/>
                <w:szCs w:val="21"/>
                <w:highlight w:val="none"/>
                <w:lang w:val="en-US" w:eastAsia="zh-CN"/>
              </w:rPr>
              <w:t>新时代文明实践系列活动组织、记录</w:t>
            </w:r>
            <w:r>
              <w:rPr>
                <w:rFonts w:hint="eastAsia" w:cs="Times New Roman"/>
                <w:b/>
                <w:bCs/>
                <w:color w:val="auto"/>
                <w:sz w:val="21"/>
                <w:szCs w:val="21"/>
                <w:highlight w:val="none"/>
                <w:lang w:val="en-US" w:eastAsia="zh-CN"/>
              </w:rPr>
              <w:t>、推广</w:t>
            </w:r>
            <w:r>
              <w:rPr>
                <w:rFonts w:hint="default" w:ascii="Times New Roman" w:hAnsi="Times New Roman" w:eastAsia="宋体" w:cs="Times New Roman"/>
                <w:b/>
                <w:bCs/>
                <w:color w:val="auto"/>
                <w:sz w:val="21"/>
                <w:szCs w:val="21"/>
                <w:highlight w:val="none"/>
              </w:rPr>
              <w:t>方案</w:t>
            </w:r>
            <w:r>
              <w:rPr>
                <w:rFonts w:hint="default" w:ascii="Times New Roman" w:hAnsi="Times New Roman" w:eastAsia="宋体" w:cs="Times New Roman"/>
                <w:color w:val="auto"/>
                <w:kern w:val="0"/>
                <w:sz w:val="21"/>
                <w:szCs w:val="21"/>
                <w:highlight w:val="none"/>
              </w:rPr>
              <w:t>，对采购需求的响应程度。</w:t>
            </w:r>
          </w:p>
          <w:p w14:paraId="0AE8AA6C">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方案完整度高、活动策划新颖、</w:t>
            </w:r>
            <w:r>
              <w:rPr>
                <w:rFonts w:hint="eastAsia" w:ascii="Times New Roman" w:hAnsi="Times New Roman" w:cs="Times New Roman"/>
                <w:color w:val="auto"/>
                <w:kern w:val="0"/>
                <w:sz w:val="21"/>
                <w:szCs w:val="21"/>
                <w:highlight w:val="none"/>
                <w:lang w:val="en-US" w:eastAsia="zh-CN"/>
              </w:rPr>
              <w:t>有丰富的</w:t>
            </w:r>
            <w:r>
              <w:rPr>
                <w:rFonts w:hint="default" w:ascii="Times New Roman" w:hAnsi="Times New Roman" w:eastAsia="宋体" w:cs="Times New Roman"/>
                <w:color w:val="auto"/>
                <w:kern w:val="0"/>
                <w:sz w:val="21"/>
                <w:szCs w:val="21"/>
                <w:highlight w:val="none"/>
              </w:rPr>
              <w:t>同类活动</w:t>
            </w:r>
            <w:r>
              <w:rPr>
                <w:rFonts w:hint="eastAsia" w:ascii="Times New Roman" w:hAnsi="Times New Roman" w:cs="Times New Roman"/>
                <w:color w:val="auto"/>
                <w:kern w:val="0"/>
                <w:sz w:val="21"/>
                <w:szCs w:val="21"/>
                <w:highlight w:val="none"/>
                <w:lang w:val="en-US" w:eastAsia="zh-CN"/>
              </w:rPr>
              <w:t>组织经验</w:t>
            </w:r>
            <w:r>
              <w:rPr>
                <w:rFonts w:hint="default" w:ascii="Times New Roman" w:hAnsi="Times New Roman" w:eastAsia="宋体"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后勤保障措施完善，成果照片及视频</w:t>
            </w:r>
            <w:r>
              <w:rPr>
                <w:rFonts w:hint="default" w:ascii="Times New Roman" w:hAnsi="Times New Roman" w:eastAsia="宋体" w:cs="Times New Roman"/>
                <w:color w:val="auto"/>
                <w:kern w:val="0"/>
                <w:sz w:val="21"/>
                <w:szCs w:val="21"/>
                <w:highlight w:val="none"/>
              </w:rPr>
              <w:t>完全满足采购需求</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推广方案内容丰富、充分</w:t>
            </w:r>
            <w:r>
              <w:rPr>
                <w:rFonts w:hint="default" w:ascii="Times New Roman" w:hAnsi="Times New Roman" w:eastAsia="宋体" w:cs="Times New Roman"/>
                <w:color w:val="auto"/>
                <w:kern w:val="0"/>
                <w:sz w:val="21"/>
                <w:szCs w:val="21"/>
                <w:highlight w:val="none"/>
              </w:rPr>
              <w:t>：10分；</w:t>
            </w:r>
          </w:p>
          <w:p w14:paraId="1A91E5C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方案完整度较高、活动策划较新颖、经验较丰富，</w:t>
            </w:r>
            <w:r>
              <w:rPr>
                <w:rFonts w:hint="eastAsia" w:ascii="Times New Roman" w:hAnsi="Times New Roman" w:cs="Times New Roman"/>
                <w:color w:val="auto"/>
                <w:kern w:val="0"/>
                <w:sz w:val="21"/>
                <w:szCs w:val="21"/>
                <w:highlight w:val="none"/>
                <w:lang w:val="en-US" w:eastAsia="zh-CN"/>
              </w:rPr>
              <w:t>后勤保障措施较充足，成果照片及视频</w:t>
            </w:r>
            <w:r>
              <w:rPr>
                <w:rFonts w:hint="default" w:ascii="Times New Roman" w:hAnsi="Times New Roman" w:eastAsia="宋体" w:cs="Times New Roman"/>
                <w:color w:val="auto"/>
                <w:kern w:val="0"/>
                <w:sz w:val="21"/>
                <w:szCs w:val="21"/>
                <w:highlight w:val="none"/>
              </w:rPr>
              <w:t>满足采购需求</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推广方案能较好契合项目需求</w:t>
            </w:r>
            <w:r>
              <w:rPr>
                <w:rFonts w:hint="default" w:ascii="Times New Roman" w:hAnsi="Times New Roman" w:eastAsia="宋体" w:cs="Times New Roman"/>
                <w:color w:val="auto"/>
                <w:kern w:val="0"/>
                <w:sz w:val="21"/>
                <w:szCs w:val="21"/>
                <w:highlight w:val="none"/>
              </w:rPr>
              <w:t>：8分；</w:t>
            </w:r>
          </w:p>
          <w:p w14:paraId="5BAD07D7">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方案完整度一般、活动策划能力一般、能体现一定经验，</w:t>
            </w:r>
            <w:r>
              <w:rPr>
                <w:rFonts w:hint="eastAsia" w:ascii="Times New Roman" w:hAnsi="Times New Roman" w:cs="Times New Roman"/>
                <w:color w:val="auto"/>
                <w:kern w:val="0"/>
                <w:sz w:val="21"/>
                <w:szCs w:val="21"/>
                <w:highlight w:val="none"/>
                <w:lang w:val="en-US" w:eastAsia="zh-CN"/>
              </w:rPr>
              <w:t>后勤保障措施普通，成果照片及视频</w:t>
            </w:r>
            <w:r>
              <w:rPr>
                <w:rFonts w:hint="default" w:ascii="Times New Roman" w:hAnsi="Times New Roman" w:eastAsia="宋体" w:cs="Times New Roman"/>
                <w:color w:val="auto"/>
                <w:kern w:val="0"/>
                <w:sz w:val="21"/>
                <w:szCs w:val="21"/>
                <w:highlight w:val="none"/>
              </w:rPr>
              <w:t>可以满足采购需求</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推广方案普通、基本契合项目需求</w:t>
            </w:r>
            <w:r>
              <w:rPr>
                <w:rFonts w:hint="default" w:ascii="Times New Roman" w:hAnsi="Times New Roman" w:eastAsia="宋体" w:cs="Times New Roman"/>
                <w:color w:val="auto"/>
                <w:kern w:val="0"/>
                <w:sz w:val="21"/>
                <w:szCs w:val="21"/>
                <w:highlight w:val="none"/>
              </w:rPr>
              <w:t>：6分；</w:t>
            </w:r>
          </w:p>
          <w:p w14:paraId="2264A15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方案完整度较差、活动策划能力较差、经验不足，</w:t>
            </w:r>
            <w:r>
              <w:rPr>
                <w:rFonts w:hint="eastAsia" w:ascii="Times New Roman" w:hAnsi="Times New Roman" w:cs="Times New Roman"/>
                <w:color w:val="auto"/>
                <w:kern w:val="0"/>
                <w:sz w:val="21"/>
                <w:szCs w:val="21"/>
                <w:highlight w:val="none"/>
                <w:lang w:val="en-US" w:eastAsia="zh-CN"/>
              </w:rPr>
              <w:t>后勤保障措施有欠缺，成果照片及视频勉强</w:t>
            </w:r>
            <w:r>
              <w:rPr>
                <w:rFonts w:hint="default" w:ascii="Times New Roman" w:hAnsi="Times New Roman" w:eastAsia="宋体" w:cs="Times New Roman"/>
                <w:color w:val="auto"/>
                <w:kern w:val="0"/>
                <w:sz w:val="21"/>
                <w:szCs w:val="21"/>
                <w:highlight w:val="none"/>
              </w:rPr>
              <w:t>满足采购需求</w:t>
            </w:r>
            <w:r>
              <w:rPr>
                <w:rFonts w:hint="eastAsia" w:cs="Times New Roman"/>
                <w:color w:val="auto"/>
                <w:kern w:val="0"/>
                <w:sz w:val="21"/>
                <w:szCs w:val="21"/>
                <w:highlight w:val="none"/>
                <w:lang w:eastAsia="zh-CN"/>
              </w:rPr>
              <w:t>，</w:t>
            </w:r>
            <w:r>
              <w:rPr>
                <w:rFonts w:hint="eastAsia" w:cs="Times New Roman"/>
                <w:color w:val="auto"/>
                <w:kern w:val="0"/>
                <w:sz w:val="21"/>
                <w:szCs w:val="21"/>
                <w:highlight w:val="none"/>
                <w:lang w:val="en-US" w:eastAsia="zh-CN"/>
              </w:rPr>
              <w:t>推广方案较简略、与项目需求契合不足</w:t>
            </w:r>
            <w:r>
              <w:rPr>
                <w:rFonts w:hint="default" w:ascii="Times New Roman" w:hAnsi="Times New Roman" w:eastAsia="宋体" w:cs="Times New Roman"/>
                <w:color w:val="auto"/>
                <w:kern w:val="0"/>
                <w:sz w:val="21"/>
                <w:szCs w:val="21"/>
                <w:highlight w:val="none"/>
              </w:rPr>
              <w:t>：4分；</w:t>
            </w:r>
          </w:p>
          <w:p w14:paraId="55F19AC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方案完整度差、内容缺失，</w:t>
            </w:r>
            <w:r>
              <w:rPr>
                <w:rFonts w:hint="eastAsia" w:ascii="Times New Roman" w:hAnsi="Times New Roman" w:cs="Times New Roman"/>
                <w:color w:val="auto"/>
                <w:kern w:val="0"/>
                <w:sz w:val="21"/>
                <w:szCs w:val="21"/>
                <w:highlight w:val="none"/>
                <w:lang w:val="en-US" w:eastAsia="zh-CN"/>
              </w:rPr>
              <w:t>成果照片及视频</w:t>
            </w:r>
            <w:r>
              <w:rPr>
                <w:rFonts w:hint="default" w:ascii="Times New Roman" w:hAnsi="Times New Roman" w:eastAsia="宋体" w:cs="Times New Roman"/>
                <w:color w:val="auto"/>
                <w:kern w:val="0"/>
                <w:sz w:val="21"/>
                <w:szCs w:val="21"/>
                <w:highlight w:val="none"/>
              </w:rPr>
              <w:t>无法满足采购需求</w:t>
            </w:r>
            <w:r>
              <w:rPr>
                <w:rFonts w:hint="eastAsia" w:cs="Times New Roman"/>
                <w:color w:val="auto"/>
                <w:kern w:val="0"/>
                <w:sz w:val="21"/>
                <w:szCs w:val="21"/>
                <w:highlight w:val="none"/>
                <w:lang w:val="en-US" w:eastAsia="zh-CN"/>
              </w:rPr>
              <w:t>或推广方案存在较大缺漏</w:t>
            </w:r>
            <w:r>
              <w:rPr>
                <w:rFonts w:hint="default" w:ascii="Times New Roman" w:hAnsi="Times New Roman" w:eastAsia="宋体" w:cs="Times New Roman"/>
                <w:color w:val="auto"/>
                <w:kern w:val="0"/>
                <w:sz w:val="21"/>
                <w:szCs w:val="21"/>
                <w:highlight w:val="none"/>
              </w:rPr>
              <w:t>：2分；</w:t>
            </w:r>
          </w:p>
          <w:p w14:paraId="37973935">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方案有严重缺漏或未提供该项内容：0分。</w:t>
            </w:r>
          </w:p>
        </w:tc>
      </w:tr>
      <w:tr w14:paraId="093F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4F30BD22">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4EF6939D">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tcBorders>
              <w:left w:val="single" w:color="auto" w:sz="4" w:space="0"/>
              <w:right w:val="single" w:color="auto" w:sz="4" w:space="0"/>
            </w:tcBorders>
            <w:noWrap w:val="0"/>
            <w:vAlign w:val="center"/>
          </w:tcPr>
          <w:p w14:paraId="757B6E30">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安全及应急预案</w:t>
            </w:r>
          </w:p>
        </w:tc>
        <w:tc>
          <w:tcPr>
            <w:tcW w:w="617" w:type="dxa"/>
            <w:tcBorders>
              <w:left w:val="single" w:color="auto" w:sz="4" w:space="0"/>
              <w:right w:val="single" w:color="auto" w:sz="4" w:space="0"/>
            </w:tcBorders>
            <w:noWrap w:val="0"/>
            <w:vAlign w:val="center"/>
          </w:tcPr>
          <w:p w14:paraId="1D877EA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7434" w:type="dxa"/>
            <w:tcBorders>
              <w:top w:val="single" w:color="auto" w:sz="4" w:space="0"/>
              <w:left w:val="single" w:color="auto" w:sz="4" w:space="0"/>
              <w:right w:val="single" w:color="auto" w:sz="4" w:space="0"/>
            </w:tcBorders>
            <w:noWrap w:val="0"/>
            <w:vAlign w:val="center"/>
          </w:tcPr>
          <w:p w14:paraId="6D6446E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综合考虑供应商提供的</w:t>
            </w:r>
            <w:r>
              <w:rPr>
                <w:rFonts w:hint="default" w:ascii="Times New Roman" w:hAnsi="Times New Roman" w:eastAsia="宋体" w:cs="Times New Roman"/>
                <w:b/>
                <w:color w:val="auto"/>
                <w:sz w:val="21"/>
                <w:szCs w:val="21"/>
                <w:highlight w:val="none"/>
              </w:rPr>
              <w:t>活动安全及应急预案</w:t>
            </w:r>
            <w:r>
              <w:rPr>
                <w:rFonts w:hint="default" w:ascii="Times New Roman" w:hAnsi="Times New Roman" w:eastAsia="宋体" w:cs="Times New Roman"/>
                <w:color w:val="auto"/>
                <w:kern w:val="0"/>
                <w:sz w:val="21"/>
                <w:szCs w:val="21"/>
                <w:highlight w:val="none"/>
              </w:rPr>
              <w:t>，对采购需求的响应程度。</w:t>
            </w:r>
          </w:p>
          <w:p w14:paraId="624DAB4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方案完整度高、安全预案众多、处突能力强、具有完善的应急管理体系，完全满足采购需求：7分；</w:t>
            </w:r>
          </w:p>
          <w:p w14:paraId="2BB3B39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方案完整度较高、安全预案较多、处突能力较强、具有较完善的应急管理体系，满足采购需求：5分；</w:t>
            </w:r>
          </w:p>
          <w:p w14:paraId="6F79978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方案完整度一般、安全预案一般、处突能力一般、具有一定的应急管理体系，可以满足采购需求：3分；</w:t>
            </w:r>
          </w:p>
          <w:p w14:paraId="71B2E6C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方案完整度较差、安全预案较少、处突能力较差、应急管理体系建设较差，无法完全满足采购需求：1分；</w:t>
            </w:r>
          </w:p>
          <w:p w14:paraId="20D670F6">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2D6A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11B8C6BE">
            <w:pPr>
              <w:keepNext w:val="0"/>
              <w:keepLines w:val="0"/>
              <w:pageBreakBefore w:val="0"/>
              <w:widowControl/>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13DF3D57">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restart"/>
            <w:tcBorders>
              <w:top w:val="single" w:color="auto" w:sz="4" w:space="0"/>
              <w:left w:val="single" w:color="auto" w:sz="4" w:space="0"/>
              <w:right w:val="single" w:color="auto" w:sz="4" w:space="0"/>
            </w:tcBorders>
            <w:noWrap w:val="0"/>
            <w:vAlign w:val="center"/>
          </w:tcPr>
          <w:p w14:paraId="5B623813">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实施团队人员安排</w:t>
            </w:r>
          </w:p>
        </w:tc>
        <w:tc>
          <w:tcPr>
            <w:tcW w:w="617" w:type="dxa"/>
            <w:tcBorders>
              <w:top w:val="single" w:color="auto" w:sz="4" w:space="0"/>
              <w:left w:val="single" w:color="auto" w:sz="4" w:space="0"/>
              <w:right w:val="single" w:color="auto" w:sz="4" w:space="0"/>
            </w:tcBorders>
            <w:noWrap w:val="0"/>
            <w:vAlign w:val="center"/>
          </w:tcPr>
          <w:p w14:paraId="2FFA2A94">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434" w:type="dxa"/>
            <w:tcBorders>
              <w:top w:val="single" w:color="auto" w:sz="4" w:space="0"/>
              <w:left w:val="single" w:color="auto" w:sz="4" w:space="0"/>
              <w:right w:val="single" w:color="auto" w:sz="4" w:space="0"/>
            </w:tcBorders>
            <w:noWrap w:val="0"/>
            <w:vAlign w:val="center"/>
          </w:tcPr>
          <w:p w14:paraId="07C637C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针对本项目组建的</w:t>
            </w: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color w:val="auto"/>
                <w:kern w:val="0"/>
                <w:sz w:val="21"/>
                <w:szCs w:val="21"/>
                <w:highlight w:val="none"/>
              </w:rPr>
              <w:t>情况（需附人员组成名单、资历证明等材料）。</w:t>
            </w:r>
          </w:p>
          <w:p w14:paraId="4444FAEE">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bCs/>
                <w:iCs/>
                <w:color w:val="auto"/>
                <w:sz w:val="21"/>
                <w:szCs w:val="21"/>
                <w:highlight w:val="none"/>
              </w:rPr>
              <w:t>组成人员安排合理、专业性强、经验丰富：5分；</w:t>
            </w:r>
          </w:p>
          <w:p w14:paraId="2C09704F">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bCs/>
                <w:iCs/>
                <w:color w:val="auto"/>
                <w:sz w:val="21"/>
                <w:szCs w:val="21"/>
                <w:highlight w:val="none"/>
              </w:rPr>
              <w:t>组成人员安排较好、专业性较强、具有一定经验：4分；</w:t>
            </w:r>
          </w:p>
          <w:p w14:paraId="20F19D67">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bCs/>
                <w:iCs/>
                <w:color w:val="auto"/>
                <w:sz w:val="21"/>
                <w:szCs w:val="21"/>
                <w:highlight w:val="none"/>
              </w:rPr>
              <w:t>组成人员一般、专业性一般、经验一般：3分；</w:t>
            </w:r>
          </w:p>
          <w:p w14:paraId="10ECBF2E">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bCs/>
                <w:iCs/>
                <w:color w:val="auto"/>
                <w:sz w:val="21"/>
                <w:szCs w:val="21"/>
                <w:highlight w:val="none"/>
              </w:rPr>
              <w:t>组成人员较差、专业性较差、项目经验较少：2分；</w:t>
            </w:r>
          </w:p>
          <w:p w14:paraId="12A871C3">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
                <w:bCs/>
                <w:color w:val="auto"/>
                <w:kern w:val="0"/>
                <w:sz w:val="21"/>
                <w:szCs w:val="21"/>
                <w:highlight w:val="none"/>
              </w:rPr>
              <w:t>拍摄、制作团队</w:t>
            </w:r>
            <w:r>
              <w:rPr>
                <w:rFonts w:hint="default" w:ascii="Times New Roman" w:hAnsi="Times New Roman" w:eastAsia="宋体" w:cs="Times New Roman"/>
                <w:bCs/>
                <w:iCs/>
                <w:color w:val="auto"/>
                <w:sz w:val="21"/>
                <w:szCs w:val="21"/>
                <w:highlight w:val="none"/>
              </w:rPr>
              <w:t>组成人员差、专业性差、无相关项目经验：1分；</w:t>
            </w:r>
          </w:p>
          <w:p w14:paraId="50E2B340">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6691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vMerge w:val="continue"/>
            <w:tcBorders>
              <w:left w:val="single" w:color="auto" w:sz="4" w:space="0"/>
              <w:right w:val="single" w:color="auto" w:sz="4" w:space="0"/>
            </w:tcBorders>
            <w:noWrap w:val="0"/>
            <w:vAlign w:val="center"/>
          </w:tcPr>
          <w:p w14:paraId="23C71807">
            <w:pPr>
              <w:keepNext w:val="0"/>
              <w:keepLines w:val="0"/>
              <w:pageBreakBefore w:val="0"/>
              <w:widowControl/>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1116" w:type="dxa"/>
            <w:vMerge w:val="continue"/>
            <w:tcBorders>
              <w:left w:val="single" w:color="auto" w:sz="4" w:space="0"/>
              <w:right w:val="single" w:color="auto" w:sz="4" w:space="0"/>
            </w:tcBorders>
            <w:noWrap w:val="0"/>
            <w:vAlign w:val="center"/>
          </w:tcPr>
          <w:p w14:paraId="4FB30682">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p>
        </w:tc>
        <w:tc>
          <w:tcPr>
            <w:tcW w:w="1166" w:type="dxa"/>
            <w:vMerge w:val="continue"/>
            <w:tcBorders>
              <w:top w:val="single" w:color="auto" w:sz="4" w:space="0"/>
              <w:left w:val="single" w:color="auto" w:sz="4" w:space="0"/>
              <w:right w:val="single" w:color="auto" w:sz="4" w:space="0"/>
            </w:tcBorders>
            <w:noWrap w:val="0"/>
            <w:vAlign w:val="center"/>
          </w:tcPr>
          <w:p w14:paraId="4D534D75">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617" w:type="dxa"/>
            <w:tcBorders>
              <w:top w:val="single" w:color="auto" w:sz="4" w:space="0"/>
              <w:left w:val="single" w:color="auto" w:sz="4" w:space="0"/>
              <w:right w:val="single" w:color="auto" w:sz="4" w:space="0"/>
            </w:tcBorders>
            <w:noWrap w:val="0"/>
            <w:vAlign w:val="center"/>
          </w:tcPr>
          <w:p w14:paraId="55C2E2D6">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7434" w:type="dxa"/>
            <w:tcBorders>
              <w:top w:val="single" w:color="auto" w:sz="4" w:space="0"/>
              <w:left w:val="single" w:color="auto" w:sz="4" w:space="0"/>
              <w:right w:val="single" w:color="auto" w:sz="4" w:space="0"/>
            </w:tcBorders>
            <w:noWrap w:val="0"/>
            <w:vAlign w:val="center"/>
          </w:tcPr>
          <w:p w14:paraId="728FBF98">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w:t>
            </w:r>
            <w:r>
              <w:rPr>
                <w:rFonts w:hint="default" w:ascii="Times New Roman" w:hAnsi="Times New Roman" w:eastAsia="宋体" w:cs="Times New Roman"/>
                <w:color w:val="auto"/>
                <w:sz w:val="21"/>
                <w:szCs w:val="21"/>
                <w:highlight w:val="none"/>
              </w:rPr>
              <w:t>供应商</w:t>
            </w:r>
            <w:r>
              <w:rPr>
                <w:rFonts w:hint="default" w:ascii="Times New Roman" w:hAnsi="Times New Roman" w:eastAsia="宋体" w:cs="Times New Roman"/>
                <w:color w:val="auto"/>
                <w:kern w:val="0"/>
                <w:sz w:val="21"/>
                <w:szCs w:val="21"/>
                <w:highlight w:val="none"/>
              </w:rPr>
              <w:t>针对本项目组建的</w:t>
            </w:r>
            <w:r>
              <w:rPr>
                <w:rFonts w:hint="default" w:ascii="Times New Roman" w:hAnsi="Times New Roman" w:eastAsia="宋体" w:cs="Times New Roman"/>
                <w:b/>
                <w:color w:val="auto"/>
                <w:kern w:val="0"/>
                <w:sz w:val="21"/>
                <w:szCs w:val="21"/>
                <w:highlight w:val="none"/>
              </w:rPr>
              <w:t>活动及宣传推广团队</w:t>
            </w:r>
            <w:r>
              <w:rPr>
                <w:rFonts w:hint="default" w:ascii="Times New Roman" w:hAnsi="Times New Roman" w:eastAsia="宋体" w:cs="Times New Roman"/>
                <w:color w:val="auto"/>
                <w:kern w:val="0"/>
                <w:sz w:val="21"/>
                <w:szCs w:val="21"/>
                <w:highlight w:val="none"/>
              </w:rPr>
              <w:t>情况（需附人员组成名单、资历证明等材料）。</w:t>
            </w:r>
          </w:p>
          <w:p w14:paraId="02DEFF3D">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活动及宣传团队组成人员安排合理、专业性强、经验丰富：5分；</w:t>
            </w:r>
          </w:p>
          <w:p w14:paraId="312BC271">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活动及</w:t>
            </w:r>
            <w:r>
              <w:rPr>
                <w:rFonts w:hint="default" w:ascii="Times New Roman" w:hAnsi="Times New Roman" w:eastAsia="宋体" w:cs="Times New Roman"/>
                <w:color w:val="auto"/>
                <w:kern w:val="0"/>
                <w:sz w:val="21"/>
                <w:szCs w:val="21"/>
                <w:highlight w:val="none"/>
              </w:rPr>
              <w:t>宣传</w:t>
            </w:r>
            <w:r>
              <w:rPr>
                <w:rFonts w:hint="default" w:ascii="Times New Roman" w:hAnsi="Times New Roman" w:eastAsia="宋体" w:cs="Times New Roman"/>
                <w:bCs/>
                <w:iCs/>
                <w:color w:val="auto"/>
                <w:sz w:val="21"/>
                <w:szCs w:val="21"/>
                <w:highlight w:val="none"/>
              </w:rPr>
              <w:t>团队组成人员安排较好、专业性较强、具有一定经验：4分；</w:t>
            </w:r>
          </w:p>
          <w:p w14:paraId="583CE926">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活动及</w:t>
            </w:r>
            <w:r>
              <w:rPr>
                <w:rFonts w:hint="default" w:ascii="Times New Roman" w:hAnsi="Times New Roman" w:eastAsia="宋体" w:cs="Times New Roman"/>
                <w:color w:val="auto"/>
                <w:kern w:val="0"/>
                <w:sz w:val="21"/>
                <w:szCs w:val="21"/>
                <w:highlight w:val="none"/>
              </w:rPr>
              <w:t>宣传</w:t>
            </w:r>
            <w:r>
              <w:rPr>
                <w:rFonts w:hint="default" w:ascii="Times New Roman" w:hAnsi="Times New Roman" w:eastAsia="宋体" w:cs="Times New Roman"/>
                <w:bCs/>
                <w:iCs/>
                <w:color w:val="auto"/>
                <w:sz w:val="21"/>
                <w:szCs w:val="21"/>
                <w:highlight w:val="none"/>
              </w:rPr>
              <w:t>团队组成人员一般、专业性一般、经验一般：3分；</w:t>
            </w:r>
          </w:p>
          <w:p w14:paraId="32ADA3DA">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活动及</w:t>
            </w:r>
            <w:r>
              <w:rPr>
                <w:rFonts w:hint="default" w:ascii="Times New Roman" w:hAnsi="Times New Roman" w:eastAsia="宋体" w:cs="Times New Roman"/>
                <w:color w:val="auto"/>
                <w:kern w:val="0"/>
                <w:sz w:val="21"/>
                <w:szCs w:val="21"/>
                <w:highlight w:val="none"/>
              </w:rPr>
              <w:t>宣传</w:t>
            </w:r>
            <w:r>
              <w:rPr>
                <w:rFonts w:hint="default" w:ascii="Times New Roman" w:hAnsi="Times New Roman" w:eastAsia="宋体" w:cs="Times New Roman"/>
                <w:bCs/>
                <w:iCs/>
                <w:color w:val="auto"/>
                <w:sz w:val="21"/>
                <w:szCs w:val="21"/>
                <w:highlight w:val="none"/>
              </w:rPr>
              <w:t>团队组成人员较差、专业性较差、项目经验较少：2分；</w:t>
            </w:r>
          </w:p>
          <w:p w14:paraId="633FD59D">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bCs/>
                <w:iCs/>
                <w:color w:val="auto"/>
                <w:sz w:val="21"/>
                <w:szCs w:val="21"/>
                <w:highlight w:val="none"/>
              </w:rPr>
            </w:pPr>
            <w:r>
              <w:rPr>
                <w:rFonts w:hint="default" w:ascii="Times New Roman" w:hAnsi="Times New Roman" w:eastAsia="宋体" w:cs="Times New Roman"/>
                <w:bCs/>
                <w:iCs/>
                <w:color w:val="auto"/>
                <w:sz w:val="21"/>
                <w:szCs w:val="21"/>
                <w:highlight w:val="none"/>
              </w:rPr>
              <w:t>活动及</w:t>
            </w:r>
            <w:r>
              <w:rPr>
                <w:rFonts w:hint="default" w:ascii="Times New Roman" w:hAnsi="Times New Roman" w:eastAsia="宋体" w:cs="Times New Roman"/>
                <w:color w:val="auto"/>
                <w:kern w:val="0"/>
                <w:sz w:val="21"/>
                <w:szCs w:val="21"/>
                <w:highlight w:val="none"/>
              </w:rPr>
              <w:t>宣传</w:t>
            </w:r>
            <w:r>
              <w:rPr>
                <w:rFonts w:hint="default" w:ascii="Times New Roman" w:hAnsi="Times New Roman" w:eastAsia="宋体" w:cs="Times New Roman"/>
                <w:bCs/>
                <w:iCs/>
                <w:color w:val="auto"/>
                <w:sz w:val="21"/>
                <w:szCs w:val="21"/>
                <w:highlight w:val="none"/>
              </w:rPr>
              <w:t>团队组成人员差、专业性差、无相关项目经验：1分；</w:t>
            </w:r>
          </w:p>
          <w:p w14:paraId="30B1E3E2">
            <w:pPr>
              <w:keepNext w:val="0"/>
              <w:keepLines w:val="0"/>
              <w:pageBreakBefore w:val="0"/>
              <w:kinsoku/>
              <w:wordWrap/>
              <w:overflowPunct/>
              <w:topLinePunct w:val="0"/>
              <w:autoSpaceDE/>
              <w:autoSpaceDN/>
              <w:bidi w:val="0"/>
              <w:adjustRightInd/>
              <w:snapToGrid/>
              <w:spacing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6460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462" w:type="dxa"/>
            <w:tcBorders>
              <w:top w:val="single" w:color="auto" w:sz="4" w:space="0"/>
              <w:left w:val="single" w:color="auto" w:sz="4" w:space="0"/>
              <w:bottom w:val="single" w:color="auto" w:sz="4" w:space="0"/>
              <w:right w:val="single" w:color="auto" w:sz="4" w:space="0"/>
            </w:tcBorders>
            <w:noWrap w:val="0"/>
            <w:vAlign w:val="center"/>
          </w:tcPr>
          <w:p w14:paraId="1F6B658B">
            <w:pPr>
              <w:keepNext w:val="0"/>
              <w:keepLines w:val="0"/>
              <w:pageBreakBefore w:val="0"/>
              <w:kinsoku/>
              <w:wordWrap/>
              <w:overflowPunct/>
              <w:topLinePunct w:val="0"/>
              <w:autoSpaceDE/>
              <w:autoSpaceDN/>
              <w:bidi w:val="0"/>
              <w:adjustRightInd/>
              <w:snapToGrid/>
              <w:spacing w:line="380" w:lineRule="exact"/>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16" w:type="dxa"/>
            <w:tcBorders>
              <w:top w:val="single" w:color="auto" w:sz="4" w:space="0"/>
              <w:left w:val="single" w:color="auto" w:sz="4" w:space="0"/>
              <w:bottom w:val="single" w:color="auto" w:sz="4" w:space="0"/>
              <w:right w:val="single" w:color="auto" w:sz="4" w:space="0"/>
            </w:tcBorders>
            <w:noWrap w:val="0"/>
            <w:vAlign w:val="center"/>
          </w:tcPr>
          <w:p w14:paraId="07B17EED">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报价（10分）</w:t>
            </w:r>
          </w:p>
        </w:tc>
        <w:tc>
          <w:tcPr>
            <w:tcW w:w="9217" w:type="dxa"/>
            <w:gridSpan w:val="3"/>
            <w:tcBorders>
              <w:top w:val="single" w:color="auto" w:sz="4" w:space="0"/>
              <w:left w:val="single" w:color="auto" w:sz="4" w:space="0"/>
              <w:bottom w:val="single" w:color="auto" w:sz="4" w:space="0"/>
              <w:right w:val="single" w:color="auto" w:sz="4" w:space="0"/>
            </w:tcBorders>
            <w:noWrap w:val="0"/>
            <w:vAlign w:val="center"/>
          </w:tcPr>
          <w:p w14:paraId="742120C1">
            <w:pPr>
              <w:pStyle w:val="2"/>
              <w:keepNext w:val="0"/>
              <w:keepLines w:val="0"/>
              <w:pageBreakBefore w:val="0"/>
              <w:widowControl w:val="0"/>
              <w:kinsoku/>
              <w:wordWrap/>
              <w:overflowPunct/>
              <w:topLinePunct w:val="0"/>
              <w:autoSpaceDE/>
              <w:autoSpaceDN/>
              <w:bidi w:val="0"/>
              <w:adjustRightInd/>
              <w:snapToGrid/>
              <w:spacing w:before="0" w:line="3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满足招标文件要求且投标价格最低的投标报价为评标基准价，其价格分为满分。其他投标人的价格分统一按照下列公式计算：</w:t>
            </w:r>
          </w:p>
          <w:p w14:paraId="3E1F5521">
            <w:pPr>
              <w:pStyle w:val="2"/>
              <w:keepNext w:val="0"/>
              <w:keepLines w:val="0"/>
              <w:pageBreakBefore w:val="0"/>
              <w:widowControl w:val="0"/>
              <w:kinsoku/>
              <w:wordWrap/>
              <w:overflowPunct/>
              <w:topLinePunct w:val="0"/>
              <w:autoSpaceDE/>
              <w:autoSpaceDN/>
              <w:bidi w:val="0"/>
              <w:adjustRightInd/>
              <w:snapToGrid/>
              <w:spacing w:before="0" w:line="3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rPr>
              <w:t>投标报价得分＝（评标基准价/投标报价）×10。</w:t>
            </w:r>
          </w:p>
          <w:p w14:paraId="080B63C4">
            <w:pPr>
              <w:pStyle w:val="2"/>
              <w:keepNext w:val="0"/>
              <w:keepLines w:val="0"/>
              <w:pageBreakBefore w:val="0"/>
              <w:widowControl w:val="0"/>
              <w:kinsoku/>
              <w:wordWrap/>
              <w:overflowPunct/>
              <w:topLinePunct w:val="0"/>
              <w:autoSpaceDE/>
              <w:autoSpaceDN/>
              <w:bidi w:val="0"/>
              <w:adjustRightInd/>
              <w:snapToGrid/>
              <w:spacing w:before="0" w:line="38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sz w:val="21"/>
                <w:szCs w:val="21"/>
              </w:rPr>
              <w:t>注：此处投标报价指经过报价修正，及因落实政府采购政策进行价格调整后的报价，详见第四章《评标方法和评标标准》2.4及2.5。</w:t>
            </w:r>
          </w:p>
        </w:tc>
      </w:tr>
      <w:tr w14:paraId="2362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795" w:type="dxa"/>
            <w:gridSpan w:val="5"/>
            <w:tcBorders>
              <w:left w:val="single" w:color="auto" w:sz="4" w:space="0"/>
              <w:right w:val="single" w:color="auto" w:sz="4" w:space="0"/>
            </w:tcBorders>
            <w:noWrap w:val="0"/>
            <w:vAlign w:val="center"/>
          </w:tcPr>
          <w:p w14:paraId="707C6011">
            <w:pPr>
              <w:keepNext w:val="0"/>
              <w:keepLines w:val="0"/>
              <w:pageBreakBefore w:val="0"/>
              <w:widowControl/>
              <w:kinsoku/>
              <w:wordWrap/>
              <w:overflowPunct/>
              <w:topLinePunct w:val="0"/>
              <w:autoSpaceDE/>
              <w:autoSpaceDN/>
              <w:bidi w:val="0"/>
              <w:adjustRightInd/>
              <w:snapToGrid/>
              <w:spacing w:line="380" w:lineRule="exact"/>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7DB24A0C">
      <w:pP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br w:type="page"/>
      </w:r>
    </w:p>
    <w:p w14:paraId="72BF8A04">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第</w:t>
      </w:r>
      <w:r>
        <w:rPr>
          <w:rFonts w:hint="eastAsia" w:ascii="Times New Roman" w:hAnsi="Times New Roman" w:eastAsia="宋体"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包：慈善北京文化建设服务</w:t>
      </w:r>
    </w:p>
    <w:tbl>
      <w:tblPr>
        <w:tblStyle w:val="7"/>
        <w:tblW w:w="5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
        <w:gridCol w:w="1109"/>
        <w:gridCol w:w="1124"/>
        <w:gridCol w:w="622"/>
        <w:gridCol w:w="7307"/>
      </w:tblGrid>
      <w:tr w14:paraId="7385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tcBorders>
              <w:top w:val="single" w:color="auto" w:sz="4" w:space="0"/>
              <w:left w:val="single" w:color="auto" w:sz="4" w:space="0"/>
              <w:right w:val="single" w:color="auto" w:sz="4" w:space="0"/>
            </w:tcBorders>
            <w:noWrap w:val="0"/>
            <w:vAlign w:val="center"/>
          </w:tcPr>
          <w:p w14:paraId="23508AFA">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序号</w:t>
            </w:r>
          </w:p>
        </w:tc>
        <w:tc>
          <w:tcPr>
            <w:tcW w:w="522" w:type="pct"/>
            <w:tcBorders>
              <w:top w:val="single" w:color="auto" w:sz="4" w:space="0"/>
              <w:left w:val="single" w:color="auto" w:sz="4" w:space="0"/>
              <w:right w:val="single" w:color="auto" w:sz="4" w:space="0"/>
            </w:tcBorders>
            <w:noWrap w:val="0"/>
            <w:vAlign w:val="center"/>
          </w:tcPr>
          <w:p w14:paraId="240A542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评分因素</w:t>
            </w:r>
          </w:p>
        </w:tc>
        <w:tc>
          <w:tcPr>
            <w:tcW w:w="4261" w:type="pct"/>
            <w:gridSpan w:val="3"/>
            <w:tcBorders>
              <w:top w:val="single" w:color="auto" w:sz="4" w:space="0"/>
              <w:left w:val="single" w:color="auto" w:sz="4" w:space="0"/>
              <w:right w:val="single" w:color="auto" w:sz="4" w:space="0"/>
            </w:tcBorders>
            <w:noWrap w:val="0"/>
            <w:vAlign w:val="center"/>
          </w:tcPr>
          <w:p w14:paraId="1DA110C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评价指标和分值</w:t>
            </w:r>
          </w:p>
        </w:tc>
      </w:tr>
      <w:tr w14:paraId="7DC4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tcBorders>
              <w:top w:val="single" w:color="auto" w:sz="4" w:space="0"/>
              <w:left w:val="single" w:color="auto" w:sz="4" w:space="0"/>
              <w:right w:val="single" w:color="auto" w:sz="4" w:space="0"/>
            </w:tcBorders>
            <w:noWrap w:val="0"/>
            <w:vAlign w:val="center"/>
          </w:tcPr>
          <w:p w14:paraId="18248DDB">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522" w:type="pct"/>
            <w:tcBorders>
              <w:top w:val="single" w:color="auto" w:sz="4" w:space="0"/>
              <w:left w:val="single" w:color="auto" w:sz="4" w:space="0"/>
              <w:right w:val="single" w:color="auto" w:sz="4" w:space="0"/>
            </w:tcBorders>
            <w:noWrap w:val="0"/>
            <w:vAlign w:val="center"/>
          </w:tcPr>
          <w:p w14:paraId="443ED64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商务</w:t>
            </w:r>
          </w:p>
          <w:p w14:paraId="4408C1D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529" w:type="pct"/>
            <w:tcBorders>
              <w:top w:val="single" w:color="auto" w:sz="4" w:space="0"/>
              <w:left w:val="single" w:color="auto" w:sz="4" w:space="0"/>
              <w:right w:val="single" w:color="auto" w:sz="4" w:space="0"/>
            </w:tcBorders>
            <w:noWrap w:val="0"/>
            <w:vAlign w:val="center"/>
          </w:tcPr>
          <w:p w14:paraId="688231EA">
            <w:pPr>
              <w:keepNext w:val="0"/>
              <w:keepLines w:val="0"/>
              <w:pageBreakBefore w:val="0"/>
              <w:kinsoku/>
              <w:wordWrap/>
              <w:overflowPunct/>
              <w:topLinePunct w:val="0"/>
              <w:autoSpaceDE/>
              <w:autoSpaceDN/>
              <w:bidi w:val="0"/>
              <w:adjustRightInd w:val="0"/>
              <w:snapToGrid w:val="0"/>
              <w:spacing w:line="360" w:lineRule="auto"/>
              <w:ind w:right="-23" w:rightChars="-11"/>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业绩及经验</w:t>
            </w:r>
          </w:p>
        </w:tc>
        <w:tc>
          <w:tcPr>
            <w:tcW w:w="293" w:type="pct"/>
            <w:tcBorders>
              <w:top w:val="single" w:color="auto" w:sz="4" w:space="0"/>
              <w:left w:val="single" w:color="auto" w:sz="4" w:space="0"/>
              <w:right w:val="single" w:color="auto" w:sz="4" w:space="0"/>
            </w:tcBorders>
            <w:noWrap w:val="0"/>
            <w:vAlign w:val="center"/>
          </w:tcPr>
          <w:p w14:paraId="1C9B469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437" w:type="pct"/>
            <w:tcBorders>
              <w:top w:val="single" w:color="auto" w:sz="4" w:space="0"/>
              <w:left w:val="single" w:color="auto" w:sz="4" w:space="0"/>
              <w:right w:val="single" w:color="auto" w:sz="4" w:space="0"/>
            </w:tcBorders>
            <w:noWrap w:val="0"/>
            <w:vAlign w:val="center"/>
          </w:tcPr>
          <w:p w14:paraId="7977AC8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综合考虑供应商自202</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年1月1日起至今（以合同签订时间为准）完成同类的项目业绩，每个业绩得2分，本项最高得10分。</w:t>
            </w:r>
          </w:p>
          <w:p w14:paraId="675F3F3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（须提供包含合同关键内容页、金额页、签字盖章页在内的合同复印件并加盖供应商公章。）</w:t>
            </w:r>
          </w:p>
        </w:tc>
      </w:tr>
      <w:tr w14:paraId="1131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restart"/>
            <w:tcBorders>
              <w:left w:val="single" w:color="auto" w:sz="4" w:space="0"/>
              <w:right w:val="single" w:color="auto" w:sz="4" w:space="0"/>
            </w:tcBorders>
            <w:noWrap w:val="0"/>
            <w:vAlign w:val="center"/>
          </w:tcPr>
          <w:p w14:paraId="2A9E4BBA">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522" w:type="pct"/>
            <w:vMerge w:val="restart"/>
            <w:tcBorders>
              <w:left w:val="single" w:color="auto" w:sz="4" w:space="0"/>
              <w:right w:val="single" w:color="auto" w:sz="4" w:space="0"/>
            </w:tcBorders>
            <w:noWrap w:val="0"/>
            <w:vAlign w:val="center"/>
          </w:tcPr>
          <w:p w14:paraId="742526F6">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项目方案</w:t>
            </w:r>
          </w:p>
          <w:p w14:paraId="3CA772D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（80分）</w:t>
            </w:r>
          </w:p>
        </w:tc>
        <w:tc>
          <w:tcPr>
            <w:tcW w:w="529" w:type="pct"/>
            <w:tcBorders>
              <w:top w:val="single" w:color="auto" w:sz="4" w:space="0"/>
              <w:left w:val="single" w:color="auto" w:sz="4" w:space="0"/>
              <w:right w:val="single" w:color="auto" w:sz="4" w:space="0"/>
            </w:tcBorders>
            <w:noWrap w:val="0"/>
            <w:vAlign w:val="center"/>
          </w:tcPr>
          <w:p w14:paraId="276E6993">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项目分析</w:t>
            </w:r>
          </w:p>
        </w:tc>
        <w:tc>
          <w:tcPr>
            <w:tcW w:w="293" w:type="pct"/>
            <w:tcBorders>
              <w:top w:val="single" w:color="auto" w:sz="4" w:space="0"/>
              <w:left w:val="single" w:color="auto" w:sz="4" w:space="0"/>
              <w:right w:val="single" w:color="auto" w:sz="4" w:space="0"/>
            </w:tcBorders>
            <w:noWrap w:val="0"/>
            <w:vAlign w:val="center"/>
          </w:tcPr>
          <w:p w14:paraId="20A84F7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437" w:type="pct"/>
            <w:tcBorders>
              <w:top w:val="single" w:color="auto" w:sz="4" w:space="0"/>
              <w:left w:val="single" w:color="auto" w:sz="4" w:space="0"/>
              <w:right w:val="single" w:color="auto" w:sz="4" w:space="0"/>
            </w:tcBorders>
            <w:noWrap w:val="0"/>
            <w:vAlign w:val="center"/>
          </w:tcPr>
          <w:p w14:paraId="7362B70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综合考虑供应商针对采购需求所提供的项目分析，项目分析包括但不限于项目背景及相关政策主题、项目重难点等。</w:t>
            </w:r>
          </w:p>
          <w:p w14:paraId="4ED6C1F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项目分析具有针对性、熟悉活动主题、对政策主旨理解深入、重难点分析全面到位：5分；</w:t>
            </w:r>
          </w:p>
          <w:p w14:paraId="2EC0951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项目分析针对性一般、对活动主题了解一般、对政策主旨理解一般、重难点分析一般：3分；</w:t>
            </w:r>
          </w:p>
          <w:p w14:paraId="4BB55D2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项目分析针对性差、未理解活动主题、无重难点分析：1分；</w:t>
            </w:r>
          </w:p>
          <w:p w14:paraId="5DE40D8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未提供任何材料：0分。</w:t>
            </w:r>
          </w:p>
        </w:tc>
      </w:tr>
      <w:tr w14:paraId="2CD8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78727217">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7C9E8579">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tcBorders>
              <w:top w:val="single" w:color="auto" w:sz="4" w:space="0"/>
              <w:left w:val="single" w:color="auto" w:sz="4" w:space="0"/>
              <w:right w:val="single" w:color="auto" w:sz="4" w:space="0"/>
            </w:tcBorders>
            <w:noWrap w:val="0"/>
            <w:vAlign w:val="center"/>
          </w:tcPr>
          <w:p w14:paraId="00522014">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广告设计方案</w:t>
            </w:r>
          </w:p>
        </w:tc>
        <w:tc>
          <w:tcPr>
            <w:tcW w:w="293" w:type="pct"/>
            <w:tcBorders>
              <w:top w:val="single" w:color="auto" w:sz="4" w:space="0"/>
              <w:left w:val="single" w:color="auto" w:sz="4" w:space="0"/>
              <w:right w:val="single" w:color="auto" w:sz="4" w:space="0"/>
            </w:tcBorders>
            <w:noWrap w:val="0"/>
            <w:vAlign w:val="center"/>
          </w:tcPr>
          <w:p w14:paraId="42A2A65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13分</w:t>
            </w:r>
          </w:p>
        </w:tc>
        <w:tc>
          <w:tcPr>
            <w:tcW w:w="3437" w:type="pct"/>
            <w:tcBorders>
              <w:top w:val="single" w:color="auto" w:sz="4" w:space="0"/>
              <w:left w:val="single" w:color="auto" w:sz="4" w:space="0"/>
              <w:right w:val="single" w:color="auto" w:sz="4" w:space="0"/>
            </w:tcBorders>
            <w:noWrap w:val="0"/>
            <w:vAlign w:val="center"/>
          </w:tcPr>
          <w:p w14:paraId="6F1C8A8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综合考虑供应商提供的广告（主视觉宣传海报）设计方案，对采购需求的响应程度。</w:t>
            </w:r>
          </w:p>
          <w:p w14:paraId="57D66FE7">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方案完整度高、设计新颖富有创意、主题内容鲜明、针对性极强、受众适用性强，完全满足采购需求：13分；</w:t>
            </w:r>
          </w:p>
          <w:p w14:paraId="33E6E0B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方案完整度较高、设计较新颖、主题内容较鲜明、针对性较强、受众适用性较强，可以满足采购需求：10分；</w:t>
            </w:r>
          </w:p>
          <w:p w14:paraId="5CA7925D">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方案完整度一般、设计能力一般、主题鲜明度一般、针对性一般、有一定的受众适用性，基本满足采购需求：7分；</w:t>
            </w:r>
          </w:p>
          <w:p w14:paraId="477863B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方案完整度较差、设计能力较差、主题鲜明度较差、针对性较差、受众适用性较低，勉强满足采购需求：4分；</w:t>
            </w:r>
          </w:p>
          <w:p w14:paraId="6665875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方案完整度差、不具有设计能力、无主题、无针对性、不具有受众适用性，无法完全满足采购需求：1分；</w:t>
            </w:r>
          </w:p>
          <w:p w14:paraId="48CCFF2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1066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5FD64DA2">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6DC4BF7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tcBorders>
              <w:top w:val="single" w:color="auto" w:sz="4" w:space="0"/>
              <w:left w:val="single" w:color="auto" w:sz="4" w:space="0"/>
              <w:right w:val="single" w:color="auto" w:sz="4" w:space="0"/>
            </w:tcBorders>
            <w:noWrap w:val="0"/>
            <w:vAlign w:val="center"/>
          </w:tcPr>
          <w:p w14:paraId="69C5B3C6">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广告制作方案</w:t>
            </w:r>
          </w:p>
        </w:tc>
        <w:tc>
          <w:tcPr>
            <w:tcW w:w="293" w:type="pct"/>
            <w:tcBorders>
              <w:top w:val="single" w:color="auto" w:sz="4" w:space="0"/>
              <w:left w:val="single" w:color="auto" w:sz="4" w:space="0"/>
              <w:right w:val="single" w:color="auto" w:sz="4" w:space="0"/>
            </w:tcBorders>
            <w:noWrap w:val="0"/>
            <w:vAlign w:val="center"/>
          </w:tcPr>
          <w:p w14:paraId="7D690D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437" w:type="pct"/>
            <w:tcBorders>
              <w:top w:val="single" w:color="auto" w:sz="4" w:space="0"/>
              <w:left w:val="single" w:color="auto" w:sz="4" w:space="0"/>
              <w:right w:val="single" w:color="auto" w:sz="4" w:space="0"/>
            </w:tcBorders>
            <w:noWrap w:val="0"/>
            <w:vAlign w:val="center"/>
          </w:tcPr>
          <w:p w14:paraId="501BBAF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综合考虑供应商提供的广告（主视觉成品海报）制作方案。</w:t>
            </w:r>
          </w:p>
          <w:p w14:paraId="18F5680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方案完整度高、广告尺寸合理、耐用性及耐腐蚀性强、质量坚固，完全满足采购需求：10分；</w:t>
            </w:r>
          </w:p>
          <w:p w14:paraId="6F79E34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方案完整度较高、广告尺寸合理性较好、耐用性及耐腐蚀性较强、质量较好，可以满足采购需求：8分；</w:t>
            </w:r>
          </w:p>
          <w:p w14:paraId="1D63AFA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方案完整度一般、广告尺寸合理性一般、耐用性及耐腐蚀性一般、质量一般，基本满足采购需求：6分；</w:t>
            </w:r>
          </w:p>
          <w:p w14:paraId="502F390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方案完整度较差、广告尺寸合理性较差、耐用性及耐腐蚀性较差、质量较差，勉强满足采购需求：4分；</w:t>
            </w:r>
          </w:p>
          <w:p w14:paraId="578885C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方案完整度差、广告尺寸不合理、不具备耐用性及耐腐蚀性、质量粗糙，无法完全满足采购需求：2分；</w:t>
            </w:r>
          </w:p>
          <w:p w14:paraId="6D6B24A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1362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4DF65858">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57C86B1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vMerge w:val="restart"/>
            <w:tcBorders>
              <w:left w:val="single" w:color="auto" w:sz="4" w:space="0"/>
              <w:right w:val="single" w:color="auto" w:sz="4" w:space="0"/>
            </w:tcBorders>
            <w:noWrap w:val="0"/>
            <w:vAlign w:val="center"/>
          </w:tcPr>
          <w:p w14:paraId="1002B640">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广告投放方案</w:t>
            </w:r>
          </w:p>
        </w:tc>
        <w:tc>
          <w:tcPr>
            <w:tcW w:w="293" w:type="pct"/>
            <w:tcBorders>
              <w:top w:val="single" w:color="auto" w:sz="4" w:space="0"/>
              <w:left w:val="single" w:color="auto" w:sz="4" w:space="0"/>
              <w:right w:val="single" w:color="auto" w:sz="4" w:space="0"/>
            </w:tcBorders>
            <w:noWrap w:val="0"/>
            <w:vAlign w:val="center"/>
          </w:tcPr>
          <w:p w14:paraId="346CAE9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437" w:type="pct"/>
            <w:tcBorders>
              <w:top w:val="single" w:color="auto" w:sz="4" w:space="0"/>
              <w:left w:val="single" w:color="auto" w:sz="4" w:space="0"/>
              <w:right w:val="single" w:color="auto" w:sz="4" w:space="0"/>
            </w:tcBorders>
            <w:noWrap w:val="0"/>
            <w:vAlign w:val="center"/>
          </w:tcPr>
          <w:p w14:paraId="4FFA961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根据</w:t>
            </w:r>
            <w:r>
              <w:rPr>
                <w:rFonts w:hint="default" w:ascii="Times New Roman" w:hAnsi="Times New Roman" w:eastAsia="宋体" w:cs="Times New Roman"/>
                <w:color w:val="auto"/>
                <w:sz w:val="21"/>
                <w:szCs w:val="21"/>
                <w:highlight w:val="none"/>
              </w:rPr>
              <w:t>供应商提供的广告投放</w:t>
            </w:r>
            <w:r>
              <w:rPr>
                <w:rFonts w:hint="default" w:ascii="Times New Roman" w:hAnsi="Times New Roman" w:eastAsia="宋体" w:cs="Times New Roman"/>
                <w:color w:val="auto"/>
                <w:sz w:val="21"/>
                <w:szCs w:val="21"/>
                <w:highlight w:val="none"/>
                <w:lang w:val="en-US" w:eastAsia="zh-CN"/>
              </w:rPr>
              <w:t>资源、投放选址、覆盖范围等综合考察供应商的广告投放能力</w:t>
            </w:r>
            <w:r>
              <w:rPr>
                <w:rFonts w:hint="default" w:ascii="Times New Roman" w:hAnsi="Times New Roman" w:eastAsia="宋体" w:cs="Times New Roman"/>
                <w:color w:val="auto"/>
                <w:sz w:val="21"/>
                <w:szCs w:val="21"/>
                <w:highlight w:val="none"/>
              </w:rPr>
              <w:t>。</w:t>
            </w:r>
          </w:p>
          <w:p w14:paraId="2F7466E2">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方案完整度高、投放资源众多、选址针对性强、覆盖范围广泛、受众适用性强，完全满足采购需求：10分；</w:t>
            </w:r>
          </w:p>
          <w:p w14:paraId="276BB090">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方案完整度较高、投放资源较多、选址针对性较强、覆盖范围较广、受众适用性较强，可以满足采购需求：8分；</w:t>
            </w:r>
          </w:p>
          <w:p w14:paraId="133FFE0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方案完整度一般、投放资源一般、选址针对性一般、覆盖范围一般、受众适用性一般，基本满足采购需求：6分；</w:t>
            </w:r>
          </w:p>
          <w:p w14:paraId="0674067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方案完整度较差、投放资源较少、选址针对性较差、覆盖范围较小、受众适用性较差，勉强满足采购需求：4分；</w:t>
            </w:r>
          </w:p>
          <w:p w14:paraId="0DCB9EB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方案完整度差、投放资源匮乏、选址无针对性、覆盖范围极小、不具备受众适用性，无法完全满足采购需求：2分；</w:t>
            </w:r>
          </w:p>
          <w:p w14:paraId="56893D3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7421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27F51F2E">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3DEB4F58">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vMerge w:val="continue"/>
            <w:tcBorders>
              <w:left w:val="single" w:color="auto" w:sz="4" w:space="0"/>
              <w:right w:val="single" w:color="auto" w:sz="4" w:space="0"/>
            </w:tcBorders>
            <w:noWrap w:val="0"/>
            <w:vAlign w:val="center"/>
          </w:tcPr>
          <w:p w14:paraId="2B2405DD">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p>
        </w:tc>
        <w:tc>
          <w:tcPr>
            <w:tcW w:w="293" w:type="pct"/>
            <w:tcBorders>
              <w:top w:val="single" w:color="auto" w:sz="4" w:space="0"/>
              <w:left w:val="single" w:color="auto" w:sz="4" w:space="0"/>
              <w:right w:val="single" w:color="auto" w:sz="4" w:space="0"/>
            </w:tcBorders>
            <w:noWrap w:val="0"/>
            <w:vAlign w:val="center"/>
          </w:tcPr>
          <w:p w14:paraId="1FF71A3D">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437" w:type="pct"/>
            <w:tcBorders>
              <w:top w:val="single" w:color="auto" w:sz="4" w:space="0"/>
              <w:left w:val="single" w:color="auto" w:sz="4" w:space="0"/>
              <w:right w:val="single" w:color="auto" w:sz="4" w:space="0"/>
            </w:tcBorders>
            <w:noWrap w:val="0"/>
            <w:vAlign w:val="center"/>
          </w:tcPr>
          <w:p w14:paraId="3CB5506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综合考虑供应商提供的广告张贴</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安装</w:t>
            </w:r>
            <w:r>
              <w:rPr>
                <w:rFonts w:hint="default" w:ascii="Times New Roman" w:hAnsi="Times New Roman" w:eastAsia="宋体" w:cs="Times New Roman"/>
                <w:color w:val="auto"/>
                <w:sz w:val="21"/>
                <w:szCs w:val="21"/>
                <w:highlight w:val="none"/>
                <w:lang w:val="en-US" w:eastAsia="zh-CN"/>
              </w:rPr>
              <w:t>及投放</w:t>
            </w:r>
            <w:r>
              <w:rPr>
                <w:rFonts w:hint="default" w:ascii="Times New Roman" w:hAnsi="Times New Roman" w:eastAsia="宋体" w:cs="Times New Roman"/>
                <w:color w:val="auto"/>
                <w:sz w:val="21"/>
                <w:szCs w:val="21"/>
                <w:highlight w:val="none"/>
              </w:rPr>
              <w:t>方案。</w:t>
            </w:r>
          </w:p>
          <w:p w14:paraId="58EC842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w:t>
            </w:r>
            <w:r>
              <w:rPr>
                <w:rFonts w:hint="default" w:ascii="Times New Roman" w:hAnsi="Times New Roman" w:eastAsia="宋体" w:cs="Times New Roman"/>
                <w:color w:val="auto"/>
                <w:sz w:val="21"/>
                <w:szCs w:val="21"/>
                <w:highlight w:val="none"/>
                <w:lang w:val="en-US" w:eastAsia="zh-CN"/>
              </w:rPr>
              <w:t>操作</w:t>
            </w:r>
            <w:r>
              <w:rPr>
                <w:rFonts w:hint="default" w:ascii="Times New Roman" w:hAnsi="Times New Roman" w:eastAsia="宋体" w:cs="Times New Roman"/>
                <w:color w:val="auto"/>
                <w:sz w:val="21"/>
                <w:szCs w:val="21"/>
                <w:highlight w:val="none"/>
              </w:rPr>
              <w:t>工艺娴熟、更新周期频繁且固定，完全满足采购需求：10分；</w:t>
            </w:r>
          </w:p>
          <w:p w14:paraId="2AE54D6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w:t>
            </w:r>
            <w:r>
              <w:rPr>
                <w:rFonts w:hint="default" w:ascii="Times New Roman" w:hAnsi="Times New Roman" w:eastAsia="宋体" w:cs="Times New Roman"/>
                <w:color w:val="auto"/>
                <w:sz w:val="21"/>
                <w:szCs w:val="21"/>
                <w:highlight w:val="none"/>
                <w:lang w:val="en-US" w:eastAsia="zh-CN"/>
              </w:rPr>
              <w:t>操作</w:t>
            </w:r>
            <w:r>
              <w:rPr>
                <w:rFonts w:hint="default" w:ascii="Times New Roman" w:hAnsi="Times New Roman" w:eastAsia="宋体" w:cs="Times New Roman"/>
                <w:color w:val="auto"/>
                <w:sz w:val="21"/>
                <w:szCs w:val="21"/>
                <w:highlight w:val="none"/>
              </w:rPr>
              <w:t>工艺较成熟、更新周期较频繁、较固定，可以满足采购需求：8分；</w:t>
            </w:r>
          </w:p>
          <w:p w14:paraId="5E9F7C6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w:t>
            </w:r>
            <w:r>
              <w:rPr>
                <w:rFonts w:hint="default" w:ascii="Times New Roman" w:hAnsi="Times New Roman" w:eastAsia="宋体" w:cs="Times New Roman"/>
                <w:color w:val="auto"/>
                <w:sz w:val="21"/>
                <w:szCs w:val="21"/>
                <w:highlight w:val="none"/>
                <w:lang w:val="en-US" w:eastAsia="zh-CN"/>
              </w:rPr>
              <w:t>操作</w:t>
            </w:r>
            <w:r>
              <w:rPr>
                <w:rFonts w:hint="default" w:ascii="Times New Roman" w:hAnsi="Times New Roman" w:eastAsia="宋体" w:cs="Times New Roman"/>
                <w:color w:val="auto"/>
                <w:sz w:val="21"/>
                <w:szCs w:val="21"/>
                <w:highlight w:val="none"/>
              </w:rPr>
              <w:t>工艺一般、更新频率一般，基本满足采购需求：6分；</w:t>
            </w:r>
          </w:p>
          <w:p w14:paraId="39D8B687">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w:t>
            </w:r>
            <w:r>
              <w:rPr>
                <w:rFonts w:hint="default" w:ascii="Times New Roman" w:hAnsi="Times New Roman" w:eastAsia="宋体" w:cs="Times New Roman"/>
                <w:color w:val="auto"/>
                <w:sz w:val="21"/>
                <w:szCs w:val="21"/>
                <w:highlight w:val="none"/>
                <w:lang w:val="en-US" w:eastAsia="zh-CN"/>
              </w:rPr>
              <w:t>操作</w:t>
            </w:r>
            <w:r>
              <w:rPr>
                <w:rFonts w:hint="default" w:ascii="Times New Roman" w:hAnsi="Times New Roman" w:eastAsia="宋体" w:cs="Times New Roman"/>
                <w:color w:val="auto"/>
                <w:sz w:val="21"/>
                <w:szCs w:val="21"/>
                <w:highlight w:val="none"/>
              </w:rPr>
              <w:t>工艺简略、更新周期较长，勉强满足采购需求：4分；</w:t>
            </w:r>
          </w:p>
          <w:p w14:paraId="4BEFA5C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方案完整度差、</w:t>
            </w:r>
            <w:r>
              <w:rPr>
                <w:rFonts w:hint="default" w:ascii="Times New Roman" w:hAnsi="Times New Roman" w:eastAsia="宋体" w:cs="Times New Roman"/>
                <w:color w:val="auto"/>
                <w:sz w:val="21"/>
                <w:szCs w:val="21"/>
                <w:highlight w:val="none"/>
                <w:lang w:val="en-US" w:eastAsia="zh-CN"/>
              </w:rPr>
              <w:t>操作</w:t>
            </w:r>
            <w:r>
              <w:rPr>
                <w:rFonts w:hint="default" w:ascii="Times New Roman" w:hAnsi="Times New Roman" w:eastAsia="宋体" w:cs="Times New Roman"/>
                <w:color w:val="auto"/>
                <w:sz w:val="21"/>
                <w:szCs w:val="21"/>
                <w:highlight w:val="none"/>
              </w:rPr>
              <w:t>工艺粗糙、更新周期松散不固定，无法完全满足采购需求：2分；</w:t>
            </w:r>
          </w:p>
          <w:p w14:paraId="62C2D382">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21D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3B4E000D">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217B42EA">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tcBorders>
              <w:left w:val="single" w:color="auto" w:sz="4" w:space="0"/>
              <w:right w:val="single" w:color="auto" w:sz="4" w:space="0"/>
            </w:tcBorders>
            <w:noWrap w:val="0"/>
            <w:vAlign w:val="center"/>
          </w:tcPr>
          <w:p w14:paraId="0875F1FC">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售后维护方案</w:t>
            </w:r>
          </w:p>
        </w:tc>
        <w:tc>
          <w:tcPr>
            <w:tcW w:w="293" w:type="pct"/>
            <w:tcBorders>
              <w:top w:val="single" w:color="auto" w:sz="4" w:space="0"/>
              <w:left w:val="single" w:color="auto" w:sz="4" w:space="0"/>
              <w:right w:val="single" w:color="auto" w:sz="4" w:space="0"/>
            </w:tcBorders>
            <w:noWrap w:val="0"/>
            <w:vAlign w:val="center"/>
          </w:tcPr>
          <w:p w14:paraId="3CC523B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437" w:type="pct"/>
            <w:tcBorders>
              <w:top w:val="single" w:color="auto" w:sz="4" w:space="0"/>
              <w:left w:val="single" w:color="auto" w:sz="4" w:space="0"/>
              <w:right w:val="single" w:color="auto" w:sz="4" w:space="0"/>
            </w:tcBorders>
            <w:noWrap w:val="0"/>
            <w:vAlign w:val="center"/>
          </w:tcPr>
          <w:p w14:paraId="628EFD5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综合考虑供应商提供的售后维护方案，对采购需求的响应程度。</w:t>
            </w:r>
          </w:p>
          <w:p w14:paraId="508229F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方案完整度高、售后维护固定且响应时效性强、备品备件充足，完全满足采购需求：10分；</w:t>
            </w:r>
          </w:p>
          <w:p w14:paraId="063F422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方案完整度较高、售后维护较固定且响应时效性较强、备品备件较充足，可以满足采购需求：8分；</w:t>
            </w:r>
          </w:p>
          <w:p w14:paraId="322E3BE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方案完整度一般、售后维护响应时效性一般、备品备件基本充足，基本满足采购需求：6分；</w:t>
            </w:r>
          </w:p>
          <w:p w14:paraId="497A1C9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方案完整度较差、售后维护响应时效性较差、备品备件数量较少，勉强满足采购需求：4分；</w:t>
            </w:r>
          </w:p>
          <w:p w14:paraId="0D70FD7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方案完整度差、较少维护、响应滞后、备品备件数量不足，无法完全满足采购需求：2分；</w:t>
            </w:r>
          </w:p>
          <w:p w14:paraId="60BD299A">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3A7F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6C0527C9">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005A4E1B">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tcBorders>
              <w:left w:val="single" w:color="auto" w:sz="4" w:space="0"/>
              <w:right w:val="single" w:color="auto" w:sz="4" w:space="0"/>
            </w:tcBorders>
            <w:noWrap w:val="0"/>
            <w:vAlign w:val="center"/>
          </w:tcPr>
          <w:p w14:paraId="6C461FC6">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质量保障方案</w:t>
            </w:r>
          </w:p>
        </w:tc>
        <w:tc>
          <w:tcPr>
            <w:tcW w:w="293" w:type="pct"/>
            <w:tcBorders>
              <w:top w:val="single" w:color="auto" w:sz="4" w:space="0"/>
              <w:left w:val="single" w:color="auto" w:sz="4" w:space="0"/>
              <w:right w:val="single" w:color="auto" w:sz="4" w:space="0"/>
            </w:tcBorders>
            <w:noWrap w:val="0"/>
            <w:vAlign w:val="center"/>
          </w:tcPr>
          <w:p w14:paraId="5A25498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7分</w:t>
            </w:r>
          </w:p>
        </w:tc>
        <w:tc>
          <w:tcPr>
            <w:tcW w:w="3437" w:type="pct"/>
            <w:tcBorders>
              <w:top w:val="single" w:color="auto" w:sz="4" w:space="0"/>
              <w:left w:val="single" w:color="auto" w:sz="4" w:space="0"/>
              <w:right w:val="single" w:color="auto" w:sz="4" w:space="0"/>
            </w:tcBorders>
            <w:noWrap w:val="0"/>
            <w:vAlign w:val="center"/>
          </w:tcPr>
          <w:p w14:paraId="620D7EED">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综合考虑供应商提供的项目实施质量保障方案，对采购需求的响应程度。</w:t>
            </w:r>
          </w:p>
          <w:p w14:paraId="5086FD24">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方案完整详实、保障措施众多、具有完善的广告内容与宣传效果监管体系，完全满足采购需求：7分；</w:t>
            </w:r>
          </w:p>
          <w:p w14:paraId="4723921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方案较详细、保障措施较多、具有完整的广告内容与宣传效果监管体系，可以满足采购需求：6分；</w:t>
            </w:r>
          </w:p>
          <w:p w14:paraId="4D3502F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方案普通通用、保障措施一般、有一定的广告内容与宣传效果监管体系，基本满足采购需求：5分；</w:t>
            </w:r>
          </w:p>
          <w:p w14:paraId="6652A18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方案完整度一般、保障措施较少、广告内容与宣传效果监管体系一般，勉强满足采购需求：3分；</w:t>
            </w:r>
          </w:p>
          <w:p w14:paraId="714E57D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方案完整度较差、保障措施不足、广告内容与宣传效果监管体系较差，无法完全满足采购需求：1分；</w:t>
            </w:r>
          </w:p>
          <w:p w14:paraId="7D097245">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187D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4F750F3C">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00AB8CE3">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tcBorders>
              <w:left w:val="single" w:color="auto" w:sz="4" w:space="0"/>
              <w:right w:val="single" w:color="auto" w:sz="4" w:space="0"/>
            </w:tcBorders>
            <w:noWrap w:val="0"/>
            <w:vAlign w:val="center"/>
          </w:tcPr>
          <w:p w14:paraId="563E7D58">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时间进度安排</w:t>
            </w:r>
          </w:p>
        </w:tc>
        <w:tc>
          <w:tcPr>
            <w:tcW w:w="293" w:type="pct"/>
            <w:tcBorders>
              <w:top w:val="single" w:color="auto" w:sz="4" w:space="0"/>
              <w:left w:val="single" w:color="auto" w:sz="4" w:space="0"/>
              <w:right w:val="single" w:color="auto" w:sz="4" w:space="0"/>
            </w:tcBorders>
            <w:noWrap w:val="0"/>
            <w:vAlign w:val="center"/>
          </w:tcPr>
          <w:p w14:paraId="49EE87F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437" w:type="pct"/>
            <w:tcBorders>
              <w:top w:val="single" w:color="auto" w:sz="4" w:space="0"/>
              <w:left w:val="single" w:color="auto" w:sz="4" w:space="0"/>
              <w:right w:val="single" w:color="auto" w:sz="4" w:space="0"/>
            </w:tcBorders>
            <w:noWrap w:val="0"/>
            <w:vAlign w:val="center"/>
          </w:tcPr>
          <w:p w14:paraId="336D3A07">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综合考虑供应商提供的时间进度安排对采购需求的响应程度。</w:t>
            </w:r>
          </w:p>
          <w:p w14:paraId="677CAAF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时间安排科学合理、利用率高、响应时效性强，完全满足采购需求：5分；</w:t>
            </w:r>
          </w:p>
          <w:p w14:paraId="5535DAB3">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时间安排较合理、利用率较高、响应时效性较强，可以满足采购需求：4分；</w:t>
            </w:r>
          </w:p>
          <w:p w14:paraId="3D36706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时间安排合理性一般、利用率一般、响应时效性一般，基本满足采购需求：3分；</w:t>
            </w:r>
          </w:p>
          <w:p w14:paraId="11D7810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时间安排较松散、利用率较低、响应时效性较差，勉强满足采购需求：2分；</w:t>
            </w:r>
          </w:p>
          <w:p w14:paraId="3B6FCAFF">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时间安排混乱无序、利用率低下、响应时效性滞后，无法完全满足采购需求：1分；</w:t>
            </w:r>
          </w:p>
          <w:p w14:paraId="500A867C">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未提供任何方案：0分。</w:t>
            </w:r>
          </w:p>
        </w:tc>
      </w:tr>
      <w:tr w14:paraId="2CBC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4D83F3BE">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4F59257F">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vMerge w:val="restart"/>
            <w:tcBorders>
              <w:top w:val="single" w:color="auto" w:sz="4" w:space="0"/>
              <w:left w:val="single" w:color="auto" w:sz="4" w:space="0"/>
              <w:right w:val="single" w:color="auto" w:sz="4" w:space="0"/>
            </w:tcBorders>
            <w:noWrap w:val="0"/>
            <w:vAlign w:val="center"/>
          </w:tcPr>
          <w:p w14:paraId="6D708D8A">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项目团队情况</w:t>
            </w:r>
          </w:p>
          <w:p w14:paraId="72B53644">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textAlignment w:val="auto"/>
              <w:rPr>
                <w:rFonts w:hint="default" w:ascii="Times New Roman" w:hAnsi="Times New Roman" w:eastAsia="宋体" w:cs="Times New Roman"/>
                <w:color w:val="auto"/>
                <w:sz w:val="21"/>
                <w:szCs w:val="21"/>
                <w:highlight w:val="none"/>
              </w:rPr>
            </w:pPr>
          </w:p>
        </w:tc>
        <w:tc>
          <w:tcPr>
            <w:tcW w:w="293" w:type="pct"/>
            <w:tcBorders>
              <w:top w:val="single" w:color="auto" w:sz="4" w:space="0"/>
              <w:left w:val="single" w:color="auto" w:sz="4" w:space="0"/>
              <w:right w:val="single" w:color="auto" w:sz="4" w:space="0"/>
            </w:tcBorders>
            <w:noWrap w:val="0"/>
            <w:vAlign w:val="center"/>
          </w:tcPr>
          <w:p w14:paraId="6016626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437" w:type="pct"/>
            <w:tcBorders>
              <w:top w:val="single" w:color="auto" w:sz="4" w:space="0"/>
              <w:left w:val="single" w:color="auto" w:sz="4" w:space="0"/>
              <w:right w:val="single" w:color="auto" w:sz="4" w:space="0"/>
            </w:tcBorders>
            <w:noWrap w:val="0"/>
            <w:vAlign w:val="center"/>
          </w:tcPr>
          <w:p w14:paraId="14402E30">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综合考虑供应商针对本项目组建的</w:t>
            </w:r>
            <w:r>
              <w:rPr>
                <w:rFonts w:hint="default" w:ascii="Times New Roman" w:hAnsi="Times New Roman" w:eastAsia="宋体" w:cs="Times New Roman"/>
                <w:b/>
                <w:bCs/>
                <w:color w:val="auto"/>
                <w:sz w:val="21"/>
                <w:szCs w:val="21"/>
                <w:highlight w:val="none"/>
              </w:rPr>
              <w:t>设计、制作团队</w:t>
            </w:r>
            <w:r>
              <w:rPr>
                <w:rFonts w:hint="default" w:ascii="Times New Roman" w:hAnsi="Times New Roman" w:eastAsia="宋体" w:cs="Times New Roman"/>
                <w:color w:val="auto"/>
                <w:sz w:val="21"/>
                <w:szCs w:val="21"/>
                <w:highlight w:val="none"/>
              </w:rPr>
              <w:t>情况（可提供团队人员名单、类似项目业绩经验证明等材料，复印件并加盖公章）</w:t>
            </w:r>
            <w:r>
              <w:rPr>
                <w:rFonts w:hint="default" w:ascii="Times New Roman" w:hAnsi="Times New Roman" w:eastAsia="宋体" w:cs="Times New Roman"/>
                <w:color w:val="auto"/>
                <w:kern w:val="0"/>
                <w:sz w:val="21"/>
                <w:szCs w:val="21"/>
                <w:highlight w:val="none"/>
              </w:rPr>
              <w:t>。</w:t>
            </w:r>
          </w:p>
          <w:p w14:paraId="7F31A28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设计、制作团队组成人员配置合理、岗位明确、职责清晰、专业性强、经验丰富：5分；</w:t>
            </w:r>
          </w:p>
          <w:p w14:paraId="05BB99F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设计、制作团队组成人员安排较好、职责较清晰、专业性较强、具有一定经验：4分；</w:t>
            </w:r>
          </w:p>
          <w:p w14:paraId="2AAD66C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设计、制作团队组成人员安排基本满足需求、职责体系构建一般、专业性基本满足需求、经验一般：3分；</w:t>
            </w:r>
          </w:p>
          <w:p w14:paraId="72F10F70">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设计、制作团队组成人员配置较差、职责不够清晰、缺乏专业性及关项目经验：2分；</w:t>
            </w:r>
          </w:p>
          <w:p w14:paraId="61F9ECCB">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设计、制作团队人员不足、职责混乱、专业性差或无相关项目经验：1分；</w:t>
            </w:r>
          </w:p>
          <w:p w14:paraId="2241E882">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未提供任何材料：0分。</w:t>
            </w:r>
          </w:p>
        </w:tc>
      </w:tr>
      <w:tr w14:paraId="45D3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vMerge w:val="continue"/>
            <w:tcBorders>
              <w:left w:val="single" w:color="auto" w:sz="4" w:space="0"/>
              <w:right w:val="single" w:color="auto" w:sz="4" w:space="0"/>
            </w:tcBorders>
            <w:noWrap w:val="0"/>
            <w:vAlign w:val="center"/>
          </w:tcPr>
          <w:p w14:paraId="324568B1">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p>
        </w:tc>
        <w:tc>
          <w:tcPr>
            <w:tcW w:w="522" w:type="pct"/>
            <w:vMerge w:val="continue"/>
            <w:tcBorders>
              <w:left w:val="single" w:color="auto" w:sz="4" w:space="0"/>
              <w:right w:val="single" w:color="auto" w:sz="4" w:space="0"/>
            </w:tcBorders>
            <w:noWrap w:val="0"/>
            <w:vAlign w:val="center"/>
          </w:tcPr>
          <w:p w14:paraId="38B86027">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p>
        </w:tc>
        <w:tc>
          <w:tcPr>
            <w:tcW w:w="529" w:type="pct"/>
            <w:vMerge w:val="continue"/>
            <w:tcBorders>
              <w:left w:val="single" w:color="auto" w:sz="4" w:space="0"/>
              <w:right w:val="single" w:color="auto" w:sz="4" w:space="0"/>
            </w:tcBorders>
            <w:noWrap w:val="0"/>
            <w:vAlign w:val="center"/>
          </w:tcPr>
          <w:p w14:paraId="5DE5D1E3">
            <w:pPr>
              <w:keepNext w:val="0"/>
              <w:keepLines w:val="0"/>
              <w:pageBreakBefore w:val="0"/>
              <w:kinsoku/>
              <w:wordWrap/>
              <w:overflowPunct/>
              <w:topLinePunct w:val="0"/>
              <w:autoSpaceDE/>
              <w:autoSpaceDN/>
              <w:bidi w:val="0"/>
              <w:adjustRightInd w:val="0"/>
              <w:snapToGrid w:val="0"/>
              <w:spacing w:line="360" w:lineRule="auto"/>
              <w:ind w:leftChars="-25" w:right="-55" w:rightChars="-26" w:hanging="52" w:hangingChars="25"/>
              <w:textAlignment w:val="auto"/>
              <w:rPr>
                <w:rFonts w:hint="default" w:ascii="Times New Roman" w:hAnsi="Times New Roman" w:eastAsia="宋体" w:cs="Times New Roman"/>
                <w:color w:val="auto"/>
                <w:sz w:val="21"/>
                <w:szCs w:val="21"/>
                <w:highlight w:val="none"/>
              </w:rPr>
            </w:pPr>
          </w:p>
        </w:tc>
        <w:tc>
          <w:tcPr>
            <w:tcW w:w="293" w:type="pct"/>
            <w:tcBorders>
              <w:top w:val="single" w:color="auto" w:sz="4" w:space="0"/>
              <w:left w:val="single" w:color="auto" w:sz="4" w:space="0"/>
              <w:right w:val="single" w:color="auto" w:sz="4" w:space="0"/>
            </w:tcBorders>
            <w:noWrap w:val="0"/>
            <w:vAlign w:val="center"/>
          </w:tcPr>
          <w:p w14:paraId="1F52206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5分</w:t>
            </w:r>
          </w:p>
        </w:tc>
        <w:tc>
          <w:tcPr>
            <w:tcW w:w="3437" w:type="pct"/>
            <w:tcBorders>
              <w:top w:val="single" w:color="auto" w:sz="4" w:space="0"/>
              <w:left w:val="single" w:color="auto" w:sz="4" w:space="0"/>
              <w:right w:val="single" w:color="auto" w:sz="4" w:space="0"/>
            </w:tcBorders>
            <w:noWrap w:val="0"/>
            <w:vAlign w:val="center"/>
          </w:tcPr>
          <w:p w14:paraId="4D5C1BE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综合考虑供应商针对本项目组建的</w:t>
            </w:r>
            <w:r>
              <w:rPr>
                <w:rFonts w:hint="default" w:ascii="Times New Roman" w:hAnsi="Times New Roman" w:eastAsia="宋体" w:cs="Times New Roman"/>
                <w:b/>
                <w:bCs/>
                <w:color w:val="auto"/>
                <w:sz w:val="21"/>
                <w:szCs w:val="21"/>
                <w:highlight w:val="none"/>
              </w:rPr>
              <w:t>投放、安装团队</w:t>
            </w:r>
            <w:r>
              <w:rPr>
                <w:rFonts w:hint="default" w:ascii="Times New Roman" w:hAnsi="Times New Roman" w:eastAsia="宋体" w:cs="Times New Roman"/>
                <w:color w:val="auto"/>
                <w:sz w:val="21"/>
                <w:szCs w:val="21"/>
                <w:highlight w:val="none"/>
              </w:rPr>
              <w:t>情况（可提供团队人员名单、类似项目业绩经验证明等材料，复印件并加盖公章）</w:t>
            </w:r>
            <w:r>
              <w:rPr>
                <w:rFonts w:hint="default" w:ascii="Times New Roman" w:hAnsi="Times New Roman" w:eastAsia="宋体" w:cs="Times New Roman"/>
                <w:color w:val="auto"/>
                <w:kern w:val="0"/>
                <w:sz w:val="21"/>
                <w:szCs w:val="21"/>
                <w:highlight w:val="none"/>
              </w:rPr>
              <w:t>。</w:t>
            </w:r>
          </w:p>
          <w:p w14:paraId="19E86F11">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投放、安装团队组成人员配置合理、岗位明确、职责清晰、专业性强、经验丰富：5分；</w:t>
            </w:r>
          </w:p>
          <w:p w14:paraId="6DB1EDF5">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投放、安装团队组成人员安排较好、职责较清晰、专业性较强、具有一定经验：4分；</w:t>
            </w:r>
          </w:p>
          <w:p w14:paraId="0AAA7326">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投放、安装团队组成人员安排基本满足需求、职责体系构建一般、专业性基本满足需求、经验一般：3分；</w:t>
            </w:r>
          </w:p>
          <w:p w14:paraId="69FF8D52">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投放、安装团队组成人员较差、职责不够清晰、缺乏专业性及关项目经验：2分；</w:t>
            </w:r>
          </w:p>
          <w:p w14:paraId="179687E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投放、安装团队人员不足、职责混乱、专业性差或无相关项目经验：1分；</w:t>
            </w:r>
          </w:p>
          <w:p w14:paraId="511F8EDD">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未提供任何材料：0分。</w:t>
            </w:r>
          </w:p>
        </w:tc>
      </w:tr>
      <w:tr w14:paraId="2A41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16" w:type="pct"/>
            <w:tcBorders>
              <w:top w:val="single" w:color="auto" w:sz="4" w:space="0"/>
              <w:left w:val="single" w:color="auto" w:sz="4" w:space="0"/>
              <w:right w:val="single" w:color="auto" w:sz="4" w:space="0"/>
            </w:tcBorders>
            <w:noWrap w:val="0"/>
            <w:vAlign w:val="center"/>
          </w:tcPr>
          <w:p w14:paraId="60A2A9CC">
            <w:pPr>
              <w:keepNext w:val="0"/>
              <w:keepLines w:val="0"/>
              <w:pageBreakBefore w:val="0"/>
              <w:kinsoku/>
              <w:wordWrap/>
              <w:overflowPunct/>
              <w:topLinePunct w:val="0"/>
              <w:autoSpaceDE/>
              <w:autoSpaceDN/>
              <w:bidi w:val="0"/>
              <w:adjustRightInd w:val="0"/>
              <w:snapToGrid w:val="0"/>
              <w:spacing w:line="360" w:lineRule="auto"/>
              <w:ind w:leftChars="-25" w:hanging="52" w:hangingChars="25"/>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522" w:type="pct"/>
            <w:tcBorders>
              <w:top w:val="single" w:color="auto" w:sz="4" w:space="0"/>
              <w:left w:val="single" w:color="auto" w:sz="4" w:space="0"/>
              <w:right w:val="single" w:color="auto" w:sz="4" w:space="0"/>
            </w:tcBorders>
            <w:noWrap w:val="0"/>
            <w:vAlign w:val="center"/>
          </w:tcPr>
          <w:p w14:paraId="3DBD0D0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21"/>
                <w:szCs w:val="21"/>
                <w:highlight w:val="none"/>
              </w:rPr>
            </w:pPr>
            <w:r>
              <w:rPr>
                <w:rFonts w:hint="eastAsia" w:eastAsia="宋体" w:cs="Times New Roman"/>
                <w:color w:val="auto"/>
                <w:sz w:val="21"/>
                <w:szCs w:val="21"/>
                <w:highlight w:val="none"/>
                <w:lang w:val="en-US" w:eastAsia="zh-CN"/>
              </w:rPr>
              <w:t>投标</w:t>
            </w:r>
            <w:r>
              <w:rPr>
                <w:rFonts w:hint="default" w:ascii="Times New Roman" w:hAnsi="Times New Roman" w:eastAsia="宋体" w:cs="Times New Roman"/>
                <w:color w:val="auto"/>
                <w:sz w:val="21"/>
                <w:szCs w:val="21"/>
                <w:highlight w:val="none"/>
              </w:rPr>
              <w:t>报价（10分）</w:t>
            </w:r>
          </w:p>
        </w:tc>
        <w:tc>
          <w:tcPr>
            <w:tcW w:w="4261" w:type="pct"/>
            <w:gridSpan w:val="3"/>
            <w:tcBorders>
              <w:top w:val="single" w:color="auto" w:sz="4" w:space="0"/>
              <w:left w:val="single" w:color="auto" w:sz="4" w:space="0"/>
              <w:bottom w:val="single" w:color="auto" w:sz="4" w:space="0"/>
              <w:right w:val="single" w:color="auto" w:sz="4" w:space="0"/>
            </w:tcBorders>
            <w:noWrap w:val="0"/>
            <w:vAlign w:val="center"/>
          </w:tcPr>
          <w:p w14:paraId="395BA96D">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满足招标文件要求且投标价格最低的投标报价为评标基准价，其价格分为满分。其他投标人的价格分统一按照下列公式计算：</w:t>
            </w:r>
          </w:p>
          <w:p w14:paraId="1A17ECEC">
            <w:pPr>
              <w:keepNext w:val="0"/>
              <w:keepLines w:val="0"/>
              <w:pageBreakBefore w:val="0"/>
              <w:kinsoku/>
              <w:wordWrap/>
              <w:overflowPunct/>
              <w:topLinePunct w:val="0"/>
              <w:autoSpaceDE/>
              <w:autoSpaceDN/>
              <w:bidi w:val="0"/>
              <w:adjustRightInd w:val="0"/>
              <w:snapToGrid w:val="0"/>
              <w:spacing w:line="360" w:lineRule="auto"/>
              <w:textAlignment w:val="auto"/>
              <w:rPr>
                <w:rFonts w:hint="eastAsia"/>
                <w:sz w:val="21"/>
                <w:szCs w:val="21"/>
              </w:rPr>
            </w:pPr>
            <w:r>
              <w:rPr>
                <w:rFonts w:hint="eastAsia"/>
                <w:sz w:val="21"/>
                <w:szCs w:val="21"/>
              </w:rPr>
              <w:t>投标报价得分＝（评标基准价/投标报价）×10。</w:t>
            </w:r>
          </w:p>
          <w:p w14:paraId="583058F9">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1"/>
                <w:szCs w:val="21"/>
                <w:highlight w:val="none"/>
              </w:rPr>
            </w:pPr>
            <w:r>
              <w:rPr>
                <w:rFonts w:hint="eastAsia"/>
                <w:sz w:val="21"/>
                <w:szCs w:val="21"/>
              </w:rPr>
              <w:t>注：此处投标报价指经过报价修正，及因落实政府采购政策进行价格调整后的报价，详见第四章《评标方法和评标标准》2.4及2.5。</w:t>
            </w:r>
          </w:p>
        </w:tc>
      </w:tr>
      <w:tr w14:paraId="1529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000" w:type="pct"/>
            <w:gridSpan w:val="5"/>
            <w:tcBorders>
              <w:left w:val="single" w:color="auto" w:sz="4" w:space="0"/>
              <w:right w:val="single" w:color="auto" w:sz="4" w:space="0"/>
            </w:tcBorders>
            <w:noWrap w:val="0"/>
            <w:vAlign w:val="center"/>
          </w:tcPr>
          <w:p w14:paraId="772E284A">
            <w:pPr>
              <w:keepNext w:val="0"/>
              <w:keepLines w:val="0"/>
              <w:pageBreakBefore w:val="0"/>
              <w:widowControl/>
              <w:kinsoku/>
              <w:wordWrap/>
              <w:overflowPunct/>
              <w:topLinePunct w:val="0"/>
              <w:autoSpaceDE/>
              <w:autoSpaceDN/>
              <w:bidi w:val="0"/>
              <w:adjustRightInd w:val="0"/>
              <w:snapToGrid w:val="0"/>
              <w:spacing w:line="360" w:lineRule="auto"/>
              <w:ind w:left="71" w:leftChars="34" w:firstLine="48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合计100分</w:t>
            </w:r>
          </w:p>
        </w:tc>
      </w:tr>
    </w:tbl>
    <w:p w14:paraId="1ACEF4F8">
      <w:pPr>
        <w:pStyle w:val="2"/>
        <w:rPr>
          <w:rFonts w:hint="eastAsia"/>
          <w:lang w:val="en-US" w:eastAsia="zh-CN"/>
        </w:rPr>
      </w:pPr>
      <w:bookmarkStart w:id="0" w:name="_GoBack"/>
      <w:bookmarkEnd w:id="0"/>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D07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34A5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B34A5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549F2"/>
    <w:rsid w:val="4831192B"/>
    <w:rsid w:val="48641A97"/>
    <w:rsid w:val="6308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2"/>
    <w:basedOn w:val="1"/>
    <w:qFormat/>
    <w:uiPriority w:val="0"/>
    <w:pPr>
      <w:ind w:firstLine="420" w:firstLineChars="200"/>
    </w:pPr>
  </w:style>
  <w:style w:type="paragraph" w:customStyle="1" w:styleId="10">
    <w:name w:val="列出段落1"/>
    <w:basedOn w:val="1"/>
    <w:autoRedefine/>
    <w:qFormat/>
    <w:uiPriority w:val="0"/>
    <w:pPr>
      <w:ind w:firstLine="420" w:firstLineChars="200"/>
    </w:pPr>
    <w:rPr>
      <w:rFonts w:ascii="Calibri" w:hAnsi="Calibri"/>
      <w:szCs w:val="22"/>
    </w:rPr>
  </w:style>
  <w:style w:type="paragraph" w:customStyle="1" w:styleId="11">
    <w:name w:val="列表段落1"/>
    <w:basedOn w:val="1"/>
    <w:qFormat/>
    <w:uiPriority w:val="0"/>
    <w:pPr>
      <w:ind w:firstLine="420" w:firstLineChars="200"/>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6757</Words>
  <Characters>6930</Characters>
  <Lines>0</Lines>
  <Paragraphs>0</Paragraphs>
  <TotalTime>2</TotalTime>
  <ScaleCrop>false</ScaleCrop>
  <LinksUpToDate>false</LinksUpToDate>
  <CharactersWithSpaces>6931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2025-04-14T02:16:00Z</dcterms:created>
  <dc:creator>Lenovo</dc:creator>
  <cp:lastModifiedBy>汇诚金桥</cp:lastModifiedBy>
  <dcterms:modified xsi:type="dcterms:W3CDTF">2025-04-16T08:20:49Z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eyJoZGlkIjoiMDQ5NGQ2NGMxZjY4Nzg3YTM5NDJmMjliMWUwYTE5ZjAiLCJ1c2VySWQiOiI3MTc5NzExMTEifQ==</vt:lpwstr>
  </property>
  <property fmtid="{D5CDD505-2E9C-101B-9397-08002B2CF9AE}" pid="4" name="ICV">
    <vt:lpwstr>041D7CC87D1F43A09BA57F20FD32742E_12</vt:lpwstr>
  </property>
</Properties>
</file>